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bidi w:val="0"/>
        <w:ind w:firstLine="562" w:firstLineChars="200"/>
        <w:jc w:val="center"/>
        <w:rPr>
          <w:rFonts w:hint="eastAsia" w:ascii="Times New Roman" w:hAnsi="Times New Roman" w:eastAsia="宋体" w:cs="Times New Roman"/>
          <w:b/>
          <w:bCs/>
          <w:color w:val="auto"/>
          <w:sz w:val="28"/>
          <w:szCs w:val="28"/>
          <w:lang w:val="en-US" w:eastAsia="zh-CN" w:bidi="ar-SA"/>
        </w:rPr>
      </w:pPr>
      <w:r>
        <w:rPr>
          <w:rFonts w:hint="eastAsia" w:ascii="Times New Roman" w:hAnsi="Times New Roman" w:eastAsia="宋体" w:cs="Times New Roman"/>
          <w:b/>
          <w:bCs/>
          <w:color w:val="auto"/>
          <w:sz w:val="28"/>
          <w:szCs w:val="28"/>
          <w:lang w:eastAsia="zh-CN" w:bidi="ar-SA"/>
        </w:rPr>
        <w:t>交通专题练习</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我国首条高原电气化铁路－拉萨至林芝铁路于2021年6月25日开通运营。拉林铁路全长403.144千米，是在建的川藏铁路的重要组成部分，也是规划中的滇藏铁路、甘藏铁路的共线路段。拉林铁路的建成通车，结束了藏东南地区不通铁路的历史。复兴号列车自拉萨至山南、林芝最快1小时10分、3小时29分可达。图3示意拉林铁路线路走向及沿线车站分布。据此完成1-3题。</w:t>
      </w:r>
    </w:p>
    <w:p>
      <w:pPr>
        <w:spacing w:line="360" w:lineRule="auto"/>
        <w:rPr>
          <w:b w:val="0"/>
          <w:bCs w:val="0"/>
        </w:rPr>
      </w:pPr>
      <w:r>
        <w:rPr>
          <w:b w:val="0"/>
          <w:bCs w:val="0"/>
        </w:rPr>
        <w:drawing>
          <wp:inline distT="0" distB="0" distL="114300" distR="114300">
            <wp:extent cx="5739765" cy="1944370"/>
            <wp:effectExtent l="0" t="0" r="1333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lum bright="-6000" contrast="18000"/>
                    </a:blip>
                    <a:srcRect l="28371" t="46087" r="27068" b="27077"/>
                    <a:stretch>
                      <a:fillRect/>
                    </a:stretch>
                  </pic:blipFill>
                  <pic:spPr>
                    <a:xfrm>
                      <a:off x="0" y="0"/>
                      <a:ext cx="5739765" cy="1944370"/>
                    </a:xfrm>
                    <a:prstGeom prst="rect">
                      <a:avLst/>
                    </a:prstGeom>
                    <a:noFill/>
                    <a:ln>
                      <a:noFill/>
                    </a:ln>
                  </pic:spPr>
                </pic:pic>
              </a:graphicData>
            </a:graphic>
          </wp:inline>
        </w:drawing>
      </w:r>
    </w:p>
    <w:p>
      <w:pPr>
        <w:widowControl/>
        <w:numPr>
          <w:ilvl w:val="0"/>
          <w:numId w:val="1"/>
        </w:numPr>
        <w:jc w:val="left"/>
        <w:textAlignment w:val="center"/>
        <w:rPr>
          <w:rFonts w:hint="eastAsia" w:ascii="宋体" w:hAnsi="Cambria Math" w:eastAsia="宋体" w:cs="宋体"/>
          <w:b w:val="0"/>
          <w:bCs w:val="0"/>
          <w:color w:val="auto"/>
          <w:szCs w:val="21"/>
          <w:lang w:bidi="ar-SA"/>
        </w:rPr>
      </w:pPr>
      <w:r>
        <w:rPr>
          <w:rFonts w:hint="default" w:ascii="宋体" w:hAnsi="Cambria Math" w:eastAsia="宋体" w:cs="宋体"/>
          <w:b w:val="0"/>
          <w:bCs w:val="0"/>
          <w:color w:val="auto"/>
          <w:szCs w:val="21"/>
          <w:lang w:bidi="ar-SA"/>
        </w:rPr>
        <w:t>拉林铁路主要沿</w:t>
      </w:r>
    </w:p>
    <w:p>
      <w:pPr>
        <w:widowControl/>
        <w:numPr>
          <w:ilvl w:val="0"/>
          <w:numId w:val="2"/>
        </w:numPr>
        <w:jc w:val="left"/>
        <w:textAlignment w:val="center"/>
        <w:rPr>
          <w:rFonts w:hint="eastAsia" w:ascii="宋体" w:hAnsi="Cambria Math" w:eastAsia="宋体" w:cs="宋体"/>
          <w:b w:val="0"/>
          <w:bCs w:val="0"/>
          <w:color w:val="auto"/>
          <w:szCs w:val="21"/>
          <w:lang w:bidi="ar-SA"/>
        </w:rPr>
      </w:pPr>
      <w:r>
        <w:rPr>
          <w:rFonts w:hint="default" w:ascii="宋体" w:hAnsi="Cambria Math" w:eastAsia="宋体" w:cs="宋体"/>
          <w:b w:val="0"/>
          <w:bCs w:val="0"/>
          <w:color w:val="auto"/>
          <w:szCs w:val="21"/>
          <w:lang w:bidi="ar-SA"/>
        </w:rPr>
        <w:t>等高线分布  </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B.</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河谷分布</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C.</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山脊线分布  </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D.</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山麓分布</w:t>
      </w:r>
    </w:p>
    <w:p>
      <w:pPr>
        <w:widowControl/>
        <w:jc w:val="left"/>
        <w:textAlignment w:val="center"/>
        <w:rPr>
          <w:rFonts w:hint="eastAsia" w:ascii="宋体" w:hAnsi="Cambria Math" w:eastAsia="宋体" w:cs="宋体"/>
          <w:b w:val="0"/>
          <w:bCs w:val="0"/>
          <w:color w:val="auto"/>
          <w:szCs w:val="21"/>
          <w:lang w:bidi="ar-SA"/>
        </w:rPr>
      </w:pPr>
      <w:r>
        <w:rPr>
          <w:rFonts w:hint="eastAsia" w:ascii="宋体" w:hAnsi="Cambria Math" w:eastAsia="宋体" w:cs="宋体"/>
          <w:b w:val="0"/>
          <w:bCs w:val="0"/>
          <w:color w:val="auto"/>
          <w:szCs w:val="21"/>
          <w:lang w:val="en-US" w:eastAsia="zh-CN" w:bidi="ar-SA"/>
        </w:rPr>
        <w:t>2</w:t>
      </w:r>
      <w:r>
        <w:rPr>
          <w:rFonts w:hint="default" w:ascii="宋体" w:hAnsi="Cambria Math" w:eastAsia="宋体" w:cs="宋体"/>
          <w:b w:val="0"/>
          <w:bCs w:val="0"/>
          <w:color w:val="auto"/>
          <w:szCs w:val="21"/>
          <w:lang w:bidi="ar-SA"/>
        </w:rPr>
        <w:t>.</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拉林铁路的开通大大缩短了拉萨至林芝的运输时间，这主要反映了现代交通运输发展的</w:t>
      </w:r>
    </w:p>
    <w:p>
      <w:pPr>
        <w:widowControl/>
        <w:jc w:val="left"/>
        <w:textAlignment w:val="center"/>
        <w:rPr>
          <w:rFonts w:hint="eastAsia" w:ascii="宋体" w:hAnsi="Cambria Math" w:eastAsia="宋体" w:cs="宋体"/>
          <w:b w:val="0"/>
          <w:bCs w:val="0"/>
          <w:color w:val="auto"/>
          <w:szCs w:val="21"/>
          <w:lang w:bidi="ar-SA"/>
        </w:rPr>
      </w:pPr>
      <w:r>
        <w:rPr>
          <w:rFonts w:hint="default" w:ascii="宋体" w:hAnsi="Cambria Math" w:eastAsia="宋体" w:cs="宋体"/>
          <w:b w:val="0"/>
          <w:bCs w:val="0"/>
          <w:color w:val="auto"/>
          <w:szCs w:val="21"/>
          <w:lang w:bidi="ar-SA"/>
        </w:rPr>
        <w:t>A.</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高速化</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 B.</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大型化</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C.</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专业化</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 D.</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综合化</w:t>
      </w:r>
    </w:p>
    <w:p>
      <w:pPr>
        <w:widowControl/>
        <w:jc w:val="left"/>
        <w:textAlignment w:val="center"/>
        <w:rPr>
          <w:rFonts w:hint="eastAsia" w:ascii="宋体" w:hAnsi="Cambria Math" w:eastAsia="宋体" w:cs="宋体"/>
          <w:b w:val="0"/>
          <w:bCs w:val="0"/>
          <w:color w:val="auto"/>
          <w:szCs w:val="21"/>
          <w:lang w:bidi="ar-SA"/>
        </w:rPr>
      </w:pPr>
      <w:r>
        <w:rPr>
          <w:rFonts w:hint="eastAsia" w:ascii="宋体" w:hAnsi="Cambria Math" w:eastAsia="宋体" w:cs="宋体"/>
          <w:b w:val="0"/>
          <w:bCs w:val="0"/>
          <w:color w:val="auto"/>
          <w:szCs w:val="21"/>
          <w:lang w:val="en-US" w:eastAsia="zh-CN" w:bidi="ar-SA"/>
        </w:rPr>
        <w:t>3</w:t>
      </w:r>
      <w:r>
        <w:rPr>
          <w:rFonts w:hint="default" w:ascii="宋体" w:hAnsi="Cambria Math" w:eastAsia="宋体" w:cs="宋体"/>
          <w:b w:val="0"/>
          <w:bCs w:val="0"/>
          <w:color w:val="auto"/>
          <w:szCs w:val="21"/>
          <w:lang w:bidi="ar-SA"/>
        </w:rPr>
        <w:t>.</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拉林铁路建成后，沿线及周边地区将形成由一连串旅游明珠景点组成的黄金旅游带，位</w:t>
      </w:r>
    </w:p>
    <w:p>
      <w:pPr>
        <w:widowControl/>
        <w:jc w:val="left"/>
        <w:textAlignment w:val="center"/>
        <w:rPr>
          <w:rFonts w:hint="eastAsia" w:ascii="宋体" w:hAnsi="Cambria Math" w:eastAsia="宋体" w:cs="宋体"/>
          <w:b w:val="0"/>
          <w:bCs w:val="0"/>
          <w:color w:val="auto"/>
          <w:szCs w:val="21"/>
          <w:lang w:bidi="ar-SA"/>
        </w:rPr>
      </w:pPr>
      <w:r>
        <w:rPr>
          <w:rFonts w:hint="eastAsia" w:ascii="宋体" w:hAnsi="Cambria Math" w:eastAsia="宋体" w:cs="宋体"/>
          <w:b w:val="0"/>
          <w:bCs w:val="0"/>
          <w:color w:val="auto"/>
          <w:szCs w:val="21"/>
          <w:lang w:bidi="ar-SA"/>
        </w:rPr>
        <w:t>于该黄金旅游带内的著名旅游景点有</w:t>
      </w:r>
    </w:p>
    <w:p>
      <w:pPr>
        <w:widowControl/>
        <w:numPr>
          <w:ilvl w:val="0"/>
          <w:numId w:val="3"/>
        </w:numPr>
        <w:jc w:val="left"/>
        <w:textAlignment w:val="center"/>
        <w:rPr>
          <w:rFonts w:hint="eastAsia" w:ascii="宋体" w:hAnsi="Cambria Math" w:eastAsia="宋体" w:cs="宋体"/>
          <w:b w:val="0"/>
          <w:bCs w:val="0"/>
          <w:color w:val="auto"/>
          <w:szCs w:val="21"/>
          <w:lang w:bidi="ar-SA"/>
        </w:rPr>
      </w:pPr>
      <w:r>
        <w:rPr>
          <w:rFonts w:hint="default" w:ascii="宋体" w:hAnsi="Cambria Math" w:eastAsia="宋体" w:cs="宋体"/>
          <w:b w:val="0"/>
          <w:bCs w:val="0"/>
          <w:color w:val="auto"/>
          <w:szCs w:val="21"/>
          <w:lang w:bidi="ar-SA"/>
        </w:rPr>
        <w:t>长白山、敦煌石窟、达岭长城</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B.</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张家界、长江三峡、秦始皇陵兵马俑</w:t>
      </w:r>
    </w:p>
    <w:p>
      <w:pPr>
        <w:widowControl/>
        <w:numPr>
          <w:ilvl w:val="0"/>
          <w:numId w:val="3"/>
        </w:numPr>
        <w:ind w:left="0" w:leftChars="0" w:firstLine="0" w:firstLineChars="0"/>
        <w:jc w:val="left"/>
        <w:textAlignment w:val="center"/>
        <w:rPr>
          <w:rFonts w:hint="eastAsia" w:ascii="楷体" w:hAnsi="Cambria Math" w:eastAsia="楷体" w:cs="仿宋"/>
          <w:b w:val="0"/>
          <w:bCs w:val="0"/>
          <w:color w:val="auto"/>
          <w:szCs w:val="21"/>
          <w:lang w:val="en-US" w:eastAsia="zh-CN" w:bidi="ar-SA"/>
        </w:rPr>
      </w:pPr>
      <w:r>
        <w:rPr>
          <w:rFonts w:hint="default" w:ascii="宋体" w:hAnsi="Cambria Math" w:eastAsia="宋体" w:cs="宋体"/>
          <w:b w:val="0"/>
          <w:bCs w:val="0"/>
          <w:color w:val="auto"/>
          <w:szCs w:val="21"/>
          <w:lang w:bidi="ar-SA"/>
        </w:rPr>
        <w:t>日月潭、桂林山水、黄果树瀑布</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D.</w:t>
      </w:r>
      <w:r>
        <w:rPr>
          <w:rFonts w:hint="eastAsia" w:ascii="宋体" w:hAnsi="Cambria Math" w:eastAsia="宋体" w:cs="宋体"/>
          <w:b w:val="0"/>
          <w:bCs w:val="0"/>
          <w:color w:val="auto"/>
          <w:szCs w:val="21"/>
          <w:lang w:val="en-US" w:eastAsia="zh-CN" w:bidi="ar-SA"/>
        </w:rPr>
        <w:t xml:space="preserve"> </w:t>
      </w:r>
      <w:r>
        <w:rPr>
          <w:rFonts w:hint="default" w:ascii="宋体" w:hAnsi="Cambria Math" w:eastAsia="宋体" w:cs="宋体"/>
          <w:b w:val="0"/>
          <w:bCs w:val="0"/>
          <w:color w:val="auto"/>
          <w:szCs w:val="21"/>
          <w:lang w:bidi="ar-SA"/>
        </w:rPr>
        <w:t>羊八井、布达拉宫、雅鲁藏布大峡谷</w:t>
      </w:r>
    </w:p>
    <w:p>
      <w:pPr>
        <w:widowControl/>
        <w:numPr>
          <w:ilvl w:val="0"/>
          <w:numId w:val="0"/>
        </w:numPr>
        <w:ind w:leftChars="0"/>
        <w:jc w:val="left"/>
        <w:textAlignment w:val="center"/>
        <w:rPr>
          <w:rFonts w:hint="eastAsia" w:ascii="楷体" w:hAnsi="Cambria Math" w:eastAsia="楷体" w:cs="仿宋"/>
          <w:b w:val="0"/>
          <w:bCs w:val="0"/>
          <w:color w:val="auto"/>
          <w:szCs w:val="21"/>
          <w:lang w:val="en-US" w:eastAsia="zh-CN" w:bidi="ar-SA"/>
        </w:rPr>
      </w:pP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 xml:space="preserve">表 </w:t>
      </w:r>
      <w:r>
        <w:rPr>
          <w:rFonts w:hint="default" w:ascii="楷体" w:hAnsi="Cambria Math" w:eastAsia="楷体" w:cs="仿宋"/>
          <w:b w:val="0"/>
          <w:bCs w:val="0"/>
          <w:color w:val="auto"/>
          <w:szCs w:val="21"/>
          <w:lang w:val="en-US" w:eastAsia="zh-CN" w:bidi="ar-SA"/>
        </w:rPr>
        <w:t xml:space="preserve">1 </w:t>
      </w:r>
      <w:r>
        <w:rPr>
          <w:rFonts w:hint="eastAsia" w:ascii="楷体" w:hAnsi="Cambria Math" w:eastAsia="楷体" w:cs="仿宋"/>
          <w:b w:val="0"/>
          <w:bCs w:val="0"/>
          <w:color w:val="auto"/>
          <w:szCs w:val="21"/>
          <w:lang w:val="en-US" w:eastAsia="zh-CN" w:bidi="ar-SA"/>
        </w:rPr>
        <w:t xml:space="preserve">为市地铁 </w:t>
      </w:r>
      <w:r>
        <w:rPr>
          <w:rFonts w:hint="default" w:ascii="楷体" w:hAnsi="Cambria Math" w:eastAsia="楷体" w:cs="仿宋"/>
          <w:b w:val="0"/>
          <w:bCs w:val="0"/>
          <w:color w:val="auto"/>
          <w:szCs w:val="21"/>
          <w:lang w:val="en-US" w:eastAsia="zh-CN" w:bidi="ar-SA"/>
        </w:rPr>
        <w:t xml:space="preserve">S </w:t>
      </w:r>
      <w:r>
        <w:rPr>
          <w:rFonts w:hint="eastAsia" w:ascii="楷体" w:hAnsi="Cambria Math" w:eastAsia="楷体" w:cs="仿宋"/>
          <w:b w:val="0"/>
          <w:bCs w:val="0"/>
          <w:color w:val="auto"/>
          <w:szCs w:val="21"/>
          <w:lang w:val="en-US" w:eastAsia="zh-CN" w:bidi="ar-SA"/>
        </w:rPr>
        <w:t xml:space="preserve">线和 </w:t>
      </w:r>
      <w:r>
        <w:rPr>
          <w:rFonts w:hint="default" w:ascii="楷体" w:hAnsi="Cambria Math" w:eastAsia="楷体" w:cs="仿宋"/>
          <w:b w:val="0"/>
          <w:bCs w:val="0"/>
          <w:color w:val="auto"/>
          <w:szCs w:val="21"/>
          <w:lang w:val="en-US" w:eastAsia="zh-CN" w:bidi="ar-SA"/>
        </w:rPr>
        <w:t xml:space="preserve">T </w:t>
      </w:r>
      <w:r>
        <w:rPr>
          <w:rFonts w:hint="eastAsia" w:ascii="楷体" w:hAnsi="Cambria Math" w:eastAsia="楷体" w:cs="仿宋"/>
          <w:b w:val="0"/>
          <w:bCs w:val="0"/>
          <w:color w:val="auto"/>
          <w:szCs w:val="21"/>
          <w:lang w:val="en-US" w:eastAsia="zh-CN" w:bidi="ar-SA"/>
        </w:rPr>
        <w:t>线开通前后距地铁线不同距离的住宅平均价格及其增幅。</w:t>
      </w:r>
      <w:r>
        <w:rPr>
          <w:rFonts w:hint="default" w:ascii="楷体" w:hAnsi="Cambria Math" w:eastAsia="楷体" w:cs="仿宋"/>
          <w:b w:val="0"/>
          <w:bCs w:val="0"/>
          <w:color w:val="auto"/>
          <w:szCs w:val="21"/>
          <w:lang w:val="en-US" w:eastAsia="zh-CN" w:bidi="ar-SA"/>
        </w:rPr>
        <w:t xml:space="preserve">S </w:t>
      </w:r>
      <w:r>
        <w:rPr>
          <w:rFonts w:hint="eastAsia" w:ascii="楷体" w:hAnsi="Cambria Math" w:eastAsia="楷体" w:cs="仿宋"/>
          <w:b w:val="0"/>
          <w:bCs w:val="0"/>
          <w:color w:val="auto"/>
          <w:szCs w:val="21"/>
          <w:lang w:val="en-US" w:eastAsia="zh-CN" w:bidi="ar-SA"/>
        </w:rPr>
        <w:t>线横跨城市中心区和边 区，</w:t>
      </w:r>
      <w:r>
        <w:rPr>
          <w:rFonts w:hint="default" w:ascii="楷体" w:hAnsi="Cambria Math" w:eastAsia="楷体" w:cs="仿宋"/>
          <w:b w:val="0"/>
          <w:bCs w:val="0"/>
          <w:color w:val="auto"/>
          <w:szCs w:val="21"/>
          <w:lang w:val="en-US" w:eastAsia="zh-CN" w:bidi="ar-SA"/>
        </w:rPr>
        <w:t xml:space="preserve">T </w:t>
      </w:r>
      <w:r>
        <w:rPr>
          <w:rFonts w:hint="eastAsia" w:ascii="楷体" w:hAnsi="Cambria Math" w:eastAsia="楷体" w:cs="仿宋"/>
          <w:b w:val="0"/>
          <w:bCs w:val="0"/>
          <w:color w:val="auto"/>
          <w:szCs w:val="21"/>
          <w:lang w:val="en-US" w:eastAsia="zh-CN" w:bidi="ar-SA"/>
        </w:rPr>
        <w:t>线连接城市边区和外围区，两条线路开通时间几乎相同，所经之地公共文通密度差界明显。据此成4-6</w:t>
      </w:r>
      <w:r>
        <w:rPr>
          <w:rFonts w:hint="default" w:ascii="楷体" w:hAnsi="Cambria Math" w:eastAsia="楷体" w:cs="仿宋"/>
          <w:b w:val="0"/>
          <w:bCs w:val="0"/>
          <w:color w:val="auto"/>
          <w:szCs w:val="21"/>
          <w:lang w:val="en-US" w:eastAsia="zh-CN" w:bidi="ar-SA"/>
        </w:rPr>
        <w:t xml:space="preserve"> </w:t>
      </w:r>
      <w:r>
        <w:rPr>
          <w:rFonts w:hint="eastAsia" w:ascii="楷体" w:hAnsi="Cambria Math" w:eastAsia="楷体" w:cs="仿宋"/>
          <w:b w:val="0"/>
          <w:bCs w:val="0"/>
          <w:color w:val="auto"/>
          <w:szCs w:val="21"/>
          <w:lang w:val="en-US" w:eastAsia="zh-CN" w:bidi="ar-SA"/>
        </w:rPr>
        <w:t xml:space="preserve">题。 </w:t>
      </w:r>
    </w:p>
    <w:p>
      <w:pPr>
        <w:keepNext w:val="0"/>
        <w:keepLines w:val="0"/>
        <w:widowControl/>
        <w:suppressLineNumbers w:val="0"/>
        <w:jc w:val="center"/>
        <w:rPr>
          <w:rFonts w:hint="eastAsia" w:ascii="楷体" w:hAnsi="楷体" w:eastAsia="楷体" w:cs="楷体"/>
          <w:b w:val="0"/>
          <w:bCs w:val="0"/>
          <w:color w:val="000000"/>
          <w:kern w:val="0"/>
          <w:sz w:val="20"/>
          <w:szCs w:val="20"/>
          <w:lang w:val="en-US" w:eastAsia="zh-CN" w:bidi="ar"/>
        </w:rPr>
      </w:pPr>
      <w:r>
        <w:rPr>
          <w:rFonts w:hint="eastAsia" w:ascii="楷体" w:hAnsi="楷体" w:eastAsia="楷体" w:cs="楷体"/>
          <w:b w:val="0"/>
          <w:bCs w:val="0"/>
          <w:color w:val="000000"/>
          <w:kern w:val="0"/>
          <w:sz w:val="20"/>
          <w:szCs w:val="20"/>
          <w:lang w:val="en-US" w:eastAsia="zh-CN" w:bidi="ar"/>
        </w:rPr>
        <w:drawing>
          <wp:inline distT="0" distB="0" distL="114300" distR="114300">
            <wp:extent cx="4286885" cy="2044700"/>
            <wp:effectExtent l="0" t="0" r="18415" b="12700"/>
            <wp:docPr id="6" name="图片 6" descr="1634776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4776730(1)"/>
                    <pic:cNvPicPr>
                      <a:picLocks noChangeAspect="1"/>
                    </pic:cNvPicPr>
                  </pic:nvPicPr>
                  <pic:blipFill>
                    <a:blip r:embed="rId7">
                      <a:lum bright="-18000" contrast="36000"/>
                    </a:blip>
                    <a:srcRect t="2719"/>
                    <a:stretch>
                      <a:fillRect/>
                    </a:stretch>
                  </pic:blipFill>
                  <pic:spPr>
                    <a:xfrm>
                      <a:off x="0" y="0"/>
                      <a:ext cx="4286885" cy="2044700"/>
                    </a:xfrm>
                    <a:prstGeom prst="rect">
                      <a:avLst/>
                    </a:prstGeom>
                  </pic:spPr>
                </pic:pic>
              </a:graphicData>
            </a:graphic>
          </wp:inline>
        </w:drawing>
      </w:r>
    </w:p>
    <w:p>
      <w:pPr>
        <w:widowControl/>
        <w:jc w:val="left"/>
        <w:textAlignment w:val="center"/>
        <w:rPr>
          <w:rFonts w:hint="default" w:ascii="宋体" w:hAnsi="Cambria Math" w:eastAsia="宋体" w:cs="宋体"/>
          <w:b w:val="0"/>
          <w:bCs w:val="0"/>
          <w:color w:val="auto"/>
          <w:szCs w:val="21"/>
          <w:lang w:bidi="ar-SA"/>
        </w:rPr>
      </w:pPr>
      <w:r>
        <w:rPr>
          <w:rFonts w:hint="eastAsia" w:ascii="宋体" w:hAnsi="Cambria Math" w:eastAsia="宋体" w:cs="宋体"/>
          <w:b w:val="0"/>
          <w:bCs w:val="0"/>
          <w:color w:val="auto"/>
          <w:szCs w:val="21"/>
          <w:lang w:val="en-US" w:eastAsia="zh-CN" w:bidi="ar-SA"/>
        </w:rPr>
        <w:t>4．地铁开通后，</w:t>
      </w:r>
      <w:r>
        <w:rPr>
          <w:rFonts w:hint="default" w:ascii="宋体" w:hAnsi="Cambria Math" w:eastAsia="宋体" w:cs="宋体"/>
          <w:b w:val="0"/>
          <w:bCs w:val="0"/>
          <w:color w:val="auto"/>
          <w:szCs w:val="21"/>
          <w:lang w:val="en-US" w:eastAsia="zh-CN" w:bidi="ar-SA"/>
        </w:rPr>
        <w:t>S</w:t>
      </w:r>
      <w:r>
        <w:rPr>
          <w:rFonts w:hint="eastAsia" w:ascii="宋体" w:hAnsi="Cambria Math" w:eastAsia="宋体" w:cs="宋体"/>
          <w:b w:val="0"/>
          <w:bCs w:val="0"/>
          <w:color w:val="auto"/>
          <w:szCs w:val="21"/>
          <w:lang w:val="en-US" w:eastAsia="zh-CN" w:bidi="ar-SA"/>
        </w:rPr>
        <w:t>线和</w:t>
      </w:r>
      <w:r>
        <w:rPr>
          <w:rFonts w:hint="default" w:ascii="宋体" w:hAnsi="Cambria Math" w:eastAsia="宋体" w:cs="宋体"/>
          <w:b w:val="0"/>
          <w:bCs w:val="0"/>
          <w:color w:val="auto"/>
          <w:szCs w:val="21"/>
          <w:lang w:val="en-US" w:eastAsia="zh-CN" w:bidi="ar-SA"/>
        </w:rPr>
        <w:t>T</w:t>
      </w:r>
      <w:r>
        <w:rPr>
          <w:rFonts w:hint="eastAsia" w:ascii="宋体" w:hAnsi="Cambria Math" w:eastAsia="宋体" w:cs="宋体"/>
          <w:b w:val="0"/>
          <w:bCs w:val="0"/>
          <w:color w:val="auto"/>
          <w:szCs w:val="21"/>
          <w:lang w:val="en-US" w:eastAsia="zh-CN" w:bidi="ar-SA"/>
        </w:rPr>
        <w:t>线距地铁线</w:t>
      </w:r>
      <w:r>
        <w:rPr>
          <w:rFonts w:hint="default" w:ascii="宋体" w:hAnsi="Cambria Math" w:eastAsia="宋体" w:cs="宋体"/>
          <w:b w:val="0"/>
          <w:bCs w:val="0"/>
          <w:color w:val="auto"/>
          <w:szCs w:val="21"/>
          <w:lang w:val="en-US" w:eastAsia="zh-CN" w:bidi="ar-SA"/>
        </w:rPr>
        <w:t>0</w:t>
      </w:r>
      <w:r>
        <w:rPr>
          <w:rFonts w:hint="eastAsia" w:ascii="宋体" w:hAnsi="Cambria Math" w:eastAsia="宋体" w:cs="宋体"/>
          <w:b w:val="0"/>
          <w:bCs w:val="0"/>
          <w:color w:val="auto"/>
          <w:szCs w:val="21"/>
          <w:lang w:val="en-US" w:eastAsia="zh-CN" w:bidi="ar-SA"/>
        </w:rPr>
        <w:t>.</w:t>
      </w:r>
      <w:r>
        <w:rPr>
          <w:rFonts w:hint="default" w:ascii="宋体" w:hAnsi="Cambria Math" w:eastAsia="宋体" w:cs="宋体"/>
          <w:b w:val="0"/>
          <w:bCs w:val="0"/>
          <w:color w:val="auto"/>
          <w:szCs w:val="21"/>
          <w:lang w:val="en-US" w:eastAsia="zh-CN" w:bidi="ar-SA"/>
        </w:rPr>
        <w:t>2</w:t>
      </w:r>
      <w:r>
        <w:rPr>
          <w:rFonts w:hint="eastAsia" w:ascii="宋体" w:hAnsi="Cambria Math" w:eastAsia="宋体" w:cs="宋体"/>
          <w:b w:val="0"/>
          <w:bCs w:val="0"/>
          <w:color w:val="auto"/>
          <w:szCs w:val="21"/>
          <w:lang w:val="en-US" w:eastAsia="zh-CN" w:bidi="ar-SA"/>
        </w:rPr>
        <w:t xml:space="preserve">千米范围内住宅平均价格相对较低的主要原因是 </w:t>
      </w:r>
    </w:p>
    <w:p>
      <w:pPr>
        <w:widowControl/>
        <w:jc w:val="left"/>
        <w:textAlignment w:val="center"/>
        <w:rPr>
          <w:rFonts w:hint="default" w:ascii="宋体" w:hAnsi="Cambria Math" w:eastAsia="宋体" w:cs="宋体"/>
          <w:b w:val="0"/>
          <w:bCs w:val="0"/>
          <w:color w:val="auto"/>
          <w:szCs w:val="21"/>
          <w:lang w:bidi="ar-SA"/>
        </w:rPr>
      </w:pPr>
      <w:r>
        <w:rPr>
          <w:rFonts w:hint="default" w:ascii="宋体" w:hAnsi="Cambria Math" w:eastAsia="宋体" w:cs="宋体"/>
          <w:b w:val="0"/>
          <w:bCs w:val="0"/>
          <w:color w:val="auto"/>
          <w:szCs w:val="21"/>
          <w:lang w:val="en-US" w:eastAsia="zh-CN" w:bidi="ar-SA"/>
        </w:rPr>
        <w:t>A</w:t>
      </w:r>
      <w:r>
        <w:rPr>
          <w:rFonts w:hint="eastAsia" w:ascii="宋体" w:hAnsi="Cambria Math" w:eastAsia="宋体" w:cs="宋体"/>
          <w:b w:val="0"/>
          <w:bCs w:val="0"/>
          <w:color w:val="auto"/>
          <w:szCs w:val="21"/>
          <w:lang w:val="en-US" w:eastAsia="zh-CN" w:bidi="ar-SA"/>
        </w:rPr>
        <w:t xml:space="preserve">．治安环境较差   </w:t>
      </w:r>
      <w:r>
        <w:rPr>
          <w:rFonts w:hint="default" w:ascii="宋体" w:hAnsi="Cambria Math" w:eastAsia="宋体" w:cs="宋体"/>
          <w:b w:val="0"/>
          <w:bCs w:val="0"/>
          <w:color w:val="auto"/>
          <w:szCs w:val="21"/>
          <w:lang w:val="en-US" w:eastAsia="zh-CN" w:bidi="ar-SA"/>
        </w:rPr>
        <w:t>B</w:t>
      </w:r>
      <w:r>
        <w:rPr>
          <w:rFonts w:hint="eastAsia" w:ascii="宋体" w:hAnsi="Cambria Math" w:eastAsia="宋体" w:cs="宋体"/>
          <w:b w:val="0"/>
          <w:bCs w:val="0"/>
          <w:color w:val="auto"/>
          <w:szCs w:val="21"/>
          <w:lang w:val="en-US" w:eastAsia="zh-CN" w:bidi="ar-SA"/>
        </w:rPr>
        <w:t xml:space="preserve">．运营期间交通较拥堵   </w:t>
      </w:r>
      <w:r>
        <w:rPr>
          <w:rFonts w:hint="default" w:ascii="宋体" w:hAnsi="Cambria Math" w:eastAsia="宋体" w:cs="宋体"/>
          <w:b w:val="0"/>
          <w:bCs w:val="0"/>
          <w:color w:val="auto"/>
          <w:szCs w:val="21"/>
          <w:lang w:val="en-US" w:eastAsia="zh-CN" w:bidi="ar-SA"/>
        </w:rPr>
        <w:t>C</w:t>
      </w:r>
      <w:r>
        <w:rPr>
          <w:rFonts w:hint="eastAsia" w:ascii="宋体" w:hAnsi="Cambria Math" w:eastAsia="宋体" w:cs="宋体"/>
          <w:b w:val="0"/>
          <w:bCs w:val="0"/>
          <w:color w:val="auto"/>
          <w:szCs w:val="21"/>
          <w:lang w:val="en-US" w:eastAsia="zh-CN" w:bidi="ar-SA"/>
        </w:rPr>
        <w:t xml:space="preserve">．大气质量较差   </w:t>
      </w:r>
      <w:r>
        <w:rPr>
          <w:rFonts w:hint="default" w:ascii="宋体" w:hAnsi="Cambria Math" w:eastAsia="宋体" w:cs="宋体"/>
          <w:b w:val="0"/>
          <w:bCs w:val="0"/>
          <w:color w:val="auto"/>
          <w:szCs w:val="21"/>
          <w:lang w:val="en-US" w:eastAsia="zh-CN" w:bidi="ar-SA"/>
        </w:rPr>
        <w:t>D</w:t>
      </w:r>
      <w:r>
        <w:rPr>
          <w:rFonts w:hint="eastAsia" w:ascii="宋体" w:hAnsi="Cambria Math" w:eastAsia="宋体" w:cs="宋体"/>
          <w:b w:val="0"/>
          <w:bCs w:val="0"/>
          <w:color w:val="auto"/>
          <w:szCs w:val="21"/>
          <w:lang w:val="en-US" w:eastAsia="zh-CN" w:bidi="ar-SA"/>
        </w:rPr>
        <w:t xml:space="preserve">．运营期间噪音和震动感较大 </w:t>
      </w:r>
    </w:p>
    <w:p>
      <w:pPr>
        <w:widowControl/>
        <w:jc w:val="left"/>
        <w:textAlignment w:val="center"/>
        <w:rPr>
          <w:rFonts w:hint="default" w:ascii="宋体" w:hAnsi="Cambria Math" w:eastAsia="宋体" w:cs="宋体"/>
          <w:b w:val="0"/>
          <w:bCs w:val="0"/>
          <w:color w:val="auto"/>
          <w:szCs w:val="21"/>
          <w:lang w:bidi="ar-SA"/>
        </w:rPr>
      </w:pPr>
      <w:r>
        <w:rPr>
          <w:rFonts w:hint="eastAsia" w:ascii="宋体" w:hAnsi="Cambria Math" w:eastAsia="宋体" w:cs="宋体"/>
          <w:b w:val="0"/>
          <w:bCs w:val="0"/>
          <w:color w:val="auto"/>
          <w:szCs w:val="21"/>
          <w:lang w:val="en-US" w:eastAsia="zh-CN" w:bidi="ar-SA"/>
        </w:rPr>
        <w:t>5．仅从距地铁线远近对住宅价格影响角度看，</w:t>
      </w:r>
      <w:r>
        <w:rPr>
          <w:rFonts w:hint="default" w:ascii="宋体" w:hAnsi="Cambria Math" w:eastAsia="宋体" w:cs="宋体"/>
          <w:b w:val="0"/>
          <w:bCs w:val="0"/>
          <w:color w:val="auto"/>
          <w:szCs w:val="21"/>
          <w:lang w:val="en-US" w:eastAsia="zh-CN" w:bidi="ar-SA"/>
        </w:rPr>
        <w:t>S</w:t>
      </w:r>
      <w:r>
        <w:rPr>
          <w:rFonts w:hint="eastAsia" w:ascii="宋体" w:hAnsi="Cambria Math" w:eastAsia="宋体" w:cs="宋体"/>
          <w:b w:val="0"/>
          <w:bCs w:val="0"/>
          <w:color w:val="auto"/>
          <w:szCs w:val="21"/>
          <w:lang w:val="en-US" w:eastAsia="zh-CN" w:bidi="ar-SA"/>
        </w:rPr>
        <w:t>线和</w:t>
      </w:r>
      <w:r>
        <w:rPr>
          <w:rFonts w:hint="default" w:ascii="宋体" w:hAnsi="Cambria Math" w:eastAsia="宋体" w:cs="宋体"/>
          <w:b w:val="0"/>
          <w:bCs w:val="0"/>
          <w:color w:val="auto"/>
          <w:szCs w:val="21"/>
          <w:lang w:val="en-US" w:eastAsia="zh-CN" w:bidi="ar-SA"/>
        </w:rPr>
        <w:t>T</w:t>
      </w:r>
      <w:r>
        <w:rPr>
          <w:rFonts w:hint="eastAsia" w:ascii="宋体" w:hAnsi="Cambria Math" w:eastAsia="宋体" w:cs="宋体"/>
          <w:b w:val="0"/>
          <w:bCs w:val="0"/>
          <w:color w:val="auto"/>
          <w:szCs w:val="21"/>
          <w:lang w:val="en-US" w:eastAsia="zh-CN" w:bidi="ar-SA"/>
        </w:rPr>
        <w:t xml:space="preserve">线开通后对住宅平均价格有效影响的距离分别不超过 </w:t>
      </w:r>
    </w:p>
    <w:p>
      <w:pPr>
        <w:widowControl/>
        <w:jc w:val="left"/>
        <w:textAlignment w:val="center"/>
        <w:rPr>
          <w:rFonts w:hint="default" w:ascii="宋体" w:hAnsi="Cambria Math" w:eastAsia="宋体" w:cs="宋体"/>
          <w:b w:val="0"/>
          <w:bCs w:val="0"/>
          <w:color w:val="auto"/>
          <w:szCs w:val="21"/>
          <w:lang w:bidi="ar-SA"/>
        </w:rPr>
      </w:pPr>
      <w:r>
        <w:rPr>
          <w:rFonts w:hint="default" w:ascii="宋体" w:hAnsi="Cambria Math" w:eastAsia="宋体" w:cs="宋体"/>
          <w:b w:val="0"/>
          <w:bCs w:val="0"/>
          <w:color w:val="auto"/>
          <w:szCs w:val="21"/>
          <w:lang w:val="en-US" w:eastAsia="zh-CN" w:bidi="ar-SA"/>
        </w:rPr>
        <w:t>A</w:t>
      </w:r>
      <w:r>
        <w:rPr>
          <w:rFonts w:hint="eastAsia" w:ascii="宋体" w:hAnsi="Cambria Math" w:eastAsia="宋体" w:cs="宋体"/>
          <w:b w:val="0"/>
          <w:bCs w:val="0"/>
          <w:color w:val="auto"/>
          <w:szCs w:val="21"/>
          <w:lang w:val="en-US" w:eastAsia="zh-CN" w:bidi="ar-SA"/>
        </w:rPr>
        <w:t>．2.5</w:t>
      </w:r>
      <w:r>
        <w:rPr>
          <w:rFonts w:hint="default" w:ascii="宋体" w:hAnsi="Cambria Math" w:eastAsia="宋体" w:cs="宋体"/>
          <w:b w:val="0"/>
          <w:bCs w:val="0"/>
          <w:color w:val="auto"/>
          <w:szCs w:val="21"/>
          <w:lang w:val="en-US" w:eastAsia="zh-CN" w:bidi="ar-SA"/>
        </w:rPr>
        <w:t xml:space="preserve"> </w:t>
      </w:r>
      <w:r>
        <w:rPr>
          <w:rFonts w:hint="eastAsia" w:ascii="宋体" w:hAnsi="Cambria Math" w:eastAsia="宋体" w:cs="宋体"/>
          <w:b w:val="0"/>
          <w:bCs w:val="0"/>
          <w:color w:val="auto"/>
          <w:szCs w:val="21"/>
          <w:lang w:val="en-US" w:eastAsia="zh-CN" w:bidi="ar-SA"/>
        </w:rPr>
        <w:t>千米、</w:t>
      </w:r>
      <w:r>
        <w:rPr>
          <w:rFonts w:hint="default" w:ascii="宋体" w:hAnsi="Cambria Math" w:eastAsia="宋体" w:cs="宋体"/>
          <w:b w:val="0"/>
          <w:bCs w:val="0"/>
          <w:color w:val="auto"/>
          <w:szCs w:val="21"/>
          <w:lang w:val="en-US" w:eastAsia="zh-CN" w:bidi="ar-SA"/>
        </w:rPr>
        <w:t xml:space="preserve">1 </w:t>
      </w:r>
      <w:r>
        <w:rPr>
          <w:rFonts w:hint="eastAsia" w:ascii="宋体" w:hAnsi="Cambria Math" w:eastAsia="宋体" w:cs="宋体"/>
          <w:b w:val="0"/>
          <w:bCs w:val="0"/>
          <w:color w:val="auto"/>
          <w:szCs w:val="21"/>
          <w:lang w:val="en-US" w:eastAsia="zh-CN" w:bidi="ar-SA"/>
        </w:rPr>
        <w:t xml:space="preserve">千米     </w:t>
      </w:r>
      <w:r>
        <w:rPr>
          <w:rFonts w:hint="default" w:ascii="宋体" w:hAnsi="Cambria Math" w:eastAsia="宋体" w:cs="宋体"/>
          <w:b w:val="0"/>
          <w:bCs w:val="0"/>
          <w:color w:val="auto"/>
          <w:szCs w:val="21"/>
          <w:lang w:val="en-US" w:eastAsia="zh-CN" w:bidi="ar-SA"/>
        </w:rPr>
        <w:t>B</w:t>
      </w:r>
      <w:r>
        <w:rPr>
          <w:rFonts w:hint="eastAsia" w:ascii="宋体" w:hAnsi="Cambria Math" w:eastAsia="宋体" w:cs="宋体"/>
          <w:b w:val="0"/>
          <w:bCs w:val="0"/>
          <w:color w:val="auto"/>
          <w:szCs w:val="21"/>
          <w:lang w:val="en-US" w:eastAsia="zh-CN" w:bidi="ar-SA"/>
        </w:rPr>
        <w:t>．</w:t>
      </w:r>
      <w:r>
        <w:rPr>
          <w:rFonts w:hint="default" w:ascii="宋体" w:hAnsi="Cambria Math" w:eastAsia="宋体" w:cs="宋体"/>
          <w:b w:val="0"/>
          <w:bCs w:val="0"/>
          <w:color w:val="auto"/>
          <w:szCs w:val="21"/>
          <w:lang w:val="en-US" w:eastAsia="zh-CN" w:bidi="ar-SA"/>
        </w:rPr>
        <w:t xml:space="preserve">1 </w:t>
      </w:r>
      <w:r>
        <w:rPr>
          <w:rFonts w:hint="eastAsia" w:ascii="宋体" w:hAnsi="Cambria Math" w:eastAsia="宋体" w:cs="宋体"/>
          <w:b w:val="0"/>
          <w:bCs w:val="0"/>
          <w:color w:val="auto"/>
          <w:szCs w:val="21"/>
          <w:lang w:val="en-US" w:eastAsia="zh-CN" w:bidi="ar-SA"/>
        </w:rPr>
        <w:t>千米、</w:t>
      </w:r>
      <w:r>
        <w:rPr>
          <w:rFonts w:hint="default" w:ascii="宋体" w:hAnsi="Cambria Math" w:eastAsia="宋体" w:cs="宋体"/>
          <w:b w:val="0"/>
          <w:bCs w:val="0"/>
          <w:color w:val="auto"/>
          <w:szCs w:val="21"/>
          <w:lang w:val="en-US" w:eastAsia="zh-CN" w:bidi="ar-SA"/>
        </w:rPr>
        <w:t xml:space="preserve">1 </w:t>
      </w:r>
      <w:r>
        <w:rPr>
          <w:rFonts w:hint="eastAsia" w:ascii="宋体" w:hAnsi="Cambria Math" w:eastAsia="宋体" w:cs="宋体"/>
          <w:b w:val="0"/>
          <w:bCs w:val="0"/>
          <w:color w:val="auto"/>
          <w:szCs w:val="21"/>
          <w:lang w:val="en-US" w:eastAsia="zh-CN" w:bidi="ar-SA"/>
        </w:rPr>
        <w:t xml:space="preserve">千米     </w:t>
      </w:r>
      <w:r>
        <w:rPr>
          <w:rFonts w:hint="default" w:ascii="宋体" w:hAnsi="Cambria Math" w:eastAsia="宋体" w:cs="宋体"/>
          <w:b w:val="0"/>
          <w:bCs w:val="0"/>
          <w:color w:val="auto"/>
          <w:szCs w:val="21"/>
          <w:lang w:val="en-US" w:eastAsia="zh-CN" w:bidi="ar-SA"/>
        </w:rPr>
        <w:t>C</w:t>
      </w:r>
      <w:r>
        <w:rPr>
          <w:rFonts w:hint="eastAsia" w:ascii="宋体" w:hAnsi="Cambria Math" w:eastAsia="宋体" w:cs="宋体"/>
          <w:b w:val="0"/>
          <w:bCs w:val="0"/>
          <w:color w:val="auto"/>
          <w:szCs w:val="21"/>
          <w:lang w:val="en-US" w:eastAsia="zh-CN" w:bidi="ar-SA"/>
        </w:rPr>
        <w:t>．</w:t>
      </w:r>
      <w:r>
        <w:rPr>
          <w:rFonts w:hint="default" w:ascii="宋体" w:hAnsi="Cambria Math" w:eastAsia="宋体" w:cs="宋体"/>
          <w:b w:val="0"/>
          <w:bCs w:val="0"/>
          <w:color w:val="auto"/>
          <w:szCs w:val="21"/>
          <w:lang w:val="en-US" w:eastAsia="zh-CN" w:bidi="ar-SA"/>
        </w:rPr>
        <w:t xml:space="preserve">3 </w:t>
      </w:r>
      <w:r>
        <w:rPr>
          <w:rFonts w:hint="eastAsia" w:ascii="宋体" w:hAnsi="Cambria Math" w:eastAsia="宋体" w:cs="宋体"/>
          <w:b w:val="0"/>
          <w:bCs w:val="0"/>
          <w:color w:val="auto"/>
          <w:szCs w:val="21"/>
          <w:lang w:val="en-US" w:eastAsia="zh-CN" w:bidi="ar-SA"/>
        </w:rPr>
        <w:t>千米、</w:t>
      </w:r>
      <w:r>
        <w:rPr>
          <w:rFonts w:hint="default" w:ascii="宋体" w:hAnsi="Cambria Math" w:eastAsia="宋体" w:cs="宋体"/>
          <w:b w:val="0"/>
          <w:bCs w:val="0"/>
          <w:color w:val="auto"/>
          <w:szCs w:val="21"/>
          <w:lang w:val="en-US" w:eastAsia="zh-CN" w:bidi="ar-SA"/>
        </w:rPr>
        <w:t xml:space="preserve">3 </w:t>
      </w:r>
      <w:r>
        <w:rPr>
          <w:rFonts w:hint="eastAsia" w:ascii="宋体" w:hAnsi="Cambria Math" w:eastAsia="宋体" w:cs="宋体"/>
          <w:b w:val="0"/>
          <w:bCs w:val="0"/>
          <w:color w:val="auto"/>
          <w:szCs w:val="21"/>
          <w:lang w:val="en-US" w:eastAsia="zh-CN" w:bidi="ar-SA"/>
        </w:rPr>
        <w:t xml:space="preserve">千米     </w:t>
      </w:r>
      <w:r>
        <w:rPr>
          <w:rFonts w:hint="default" w:ascii="宋体" w:hAnsi="Cambria Math" w:eastAsia="宋体" w:cs="宋体"/>
          <w:b w:val="0"/>
          <w:bCs w:val="0"/>
          <w:color w:val="auto"/>
          <w:szCs w:val="21"/>
          <w:lang w:val="en-US" w:eastAsia="zh-CN" w:bidi="ar-SA"/>
        </w:rPr>
        <w:t>D</w:t>
      </w:r>
      <w:r>
        <w:rPr>
          <w:rFonts w:hint="eastAsia" w:ascii="宋体" w:hAnsi="Cambria Math" w:eastAsia="宋体" w:cs="宋体"/>
          <w:b w:val="0"/>
          <w:bCs w:val="0"/>
          <w:color w:val="auto"/>
          <w:szCs w:val="21"/>
          <w:lang w:val="en-US" w:eastAsia="zh-CN" w:bidi="ar-SA"/>
        </w:rPr>
        <w:t>．2.5</w:t>
      </w:r>
      <w:r>
        <w:rPr>
          <w:rFonts w:hint="default" w:ascii="宋体" w:hAnsi="Cambria Math" w:eastAsia="宋体" w:cs="宋体"/>
          <w:b w:val="0"/>
          <w:bCs w:val="0"/>
          <w:color w:val="auto"/>
          <w:szCs w:val="21"/>
          <w:lang w:val="en-US" w:eastAsia="zh-CN" w:bidi="ar-SA"/>
        </w:rPr>
        <w:t xml:space="preserve"> </w:t>
      </w:r>
      <w:r>
        <w:rPr>
          <w:rFonts w:hint="eastAsia" w:ascii="宋体" w:hAnsi="Cambria Math" w:eastAsia="宋体" w:cs="宋体"/>
          <w:b w:val="0"/>
          <w:bCs w:val="0"/>
          <w:color w:val="auto"/>
          <w:szCs w:val="21"/>
          <w:lang w:val="en-US" w:eastAsia="zh-CN" w:bidi="ar-SA"/>
        </w:rPr>
        <w:t>千米、</w:t>
      </w:r>
      <w:r>
        <w:rPr>
          <w:rFonts w:hint="default" w:ascii="宋体" w:hAnsi="Cambria Math" w:eastAsia="宋体" w:cs="宋体"/>
          <w:b w:val="0"/>
          <w:bCs w:val="0"/>
          <w:color w:val="auto"/>
          <w:szCs w:val="21"/>
          <w:lang w:val="en-US" w:eastAsia="zh-CN" w:bidi="ar-SA"/>
        </w:rPr>
        <w:t xml:space="preserve">3 </w:t>
      </w:r>
      <w:r>
        <w:rPr>
          <w:rFonts w:hint="eastAsia" w:ascii="宋体" w:hAnsi="Cambria Math" w:eastAsia="宋体" w:cs="宋体"/>
          <w:b w:val="0"/>
          <w:bCs w:val="0"/>
          <w:color w:val="auto"/>
          <w:szCs w:val="21"/>
          <w:lang w:val="en-US" w:eastAsia="zh-CN" w:bidi="ar-SA"/>
        </w:rPr>
        <w:t xml:space="preserve">千米 </w:t>
      </w:r>
    </w:p>
    <w:p>
      <w:pPr>
        <w:widowControl/>
        <w:jc w:val="left"/>
        <w:textAlignment w:val="center"/>
        <w:rPr>
          <w:rFonts w:hint="default" w:ascii="宋体" w:hAnsi="Cambria Math" w:eastAsia="宋体" w:cs="宋体"/>
          <w:b w:val="0"/>
          <w:bCs w:val="0"/>
          <w:color w:val="auto"/>
          <w:szCs w:val="21"/>
          <w:lang w:bidi="ar-SA"/>
        </w:rPr>
      </w:pPr>
      <w:r>
        <w:rPr>
          <w:rFonts w:hint="eastAsia" w:ascii="宋体" w:hAnsi="Cambria Math" w:eastAsia="宋体" w:cs="宋体"/>
          <w:b w:val="0"/>
          <w:bCs w:val="0"/>
          <w:color w:val="auto"/>
          <w:szCs w:val="21"/>
          <w:lang w:val="en-US" w:eastAsia="zh-CN" w:bidi="ar-SA"/>
        </w:rPr>
        <w:t>6．地铁开通后，工线附近的住宅平均价总体高干</w:t>
      </w:r>
      <w:r>
        <w:rPr>
          <w:rFonts w:hint="default" w:ascii="宋体" w:hAnsi="Cambria Math" w:eastAsia="宋体" w:cs="宋体"/>
          <w:b w:val="0"/>
          <w:bCs w:val="0"/>
          <w:color w:val="auto"/>
          <w:szCs w:val="21"/>
          <w:lang w:val="en-US" w:eastAsia="zh-CN" w:bidi="ar-SA"/>
        </w:rPr>
        <w:t>S</w:t>
      </w:r>
      <w:r>
        <w:rPr>
          <w:rFonts w:hint="eastAsia" w:ascii="宋体" w:hAnsi="Cambria Math" w:eastAsia="宋体" w:cs="宋体"/>
          <w:b w:val="0"/>
          <w:bCs w:val="0"/>
          <w:color w:val="auto"/>
          <w:szCs w:val="21"/>
          <w:lang w:val="en-US" w:eastAsia="zh-CN" w:bidi="ar-SA"/>
        </w:rPr>
        <w:t>线，主要因为</w:t>
      </w:r>
      <w:r>
        <w:rPr>
          <w:rFonts w:hint="default" w:ascii="宋体" w:hAnsi="Cambria Math" w:eastAsia="宋体" w:cs="宋体"/>
          <w:b w:val="0"/>
          <w:bCs w:val="0"/>
          <w:color w:val="auto"/>
          <w:szCs w:val="21"/>
          <w:lang w:val="en-US" w:eastAsia="zh-CN" w:bidi="ar-SA"/>
        </w:rPr>
        <w:t>T</w:t>
      </w:r>
      <w:r>
        <w:rPr>
          <w:rFonts w:hint="eastAsia" w:ascii="宋体" w:hAnsi="Cambria Math" w:eastAsia="宋体" w:cs="宋体"/>
          <w:b w:val="0"/>
          <w:bCs w:val="0"/>
          <w:color w:val="auto"/>
          <w:szCs w:val="21"/>
          <w:lang w:val="en-US" w:eastAsia="zh-CN" w:bidi="ar-SA"/>
        </w:rPr>
        <w:t xml:space="preserve">线附近 </w:t>
      </w:r>
    </w:p>
    <w:p>
      <w:pPr>
        <w:widowControl/>
        <w:jc w:val="left"/>
        <w:textAlignment w:val="center"/>
        <w:rPr>
          <w:rFonts w:hint="default" w:ascii="宋体" w:hAnsi="Cambria Math" w:eastAsia="宋体" w:cs="宋体"/>
          <w:b w:val="0"/>
          <w:bCs w:val="0"/>
          <w:color w:val="auto"/>
          <w:szCs w:val="21"/>
          <w:lang w:bidi="ar-SA"/>
        </w:rPr>
      </w:pPr>
      <w:r>
        <w:rPr>
          <w:rFonts w:hint="eastAsia" w:ascii="宋体" w:hAnsi="Cambria Math" w:eastAsia="宋体" w:cs="宋体"/>
          <w:b w:val="0"/>
          <w:bCs w:val="0"/>
          <w:color w:val="auto"/>
          <w:szCs w:val="21"/>
          <w:lang w:val="en-US" w:eastAsia="zh-CN" w:bidi="ar-SA"/>
        </w:rPr>
        <w:t xml:space="preserve">①配套设施更完善     ②环境质量更好     ③公共交通密度较小     ④房价基数较小 </w:t>
      </w:r>
    </w:p>
    <w:p>
      <w:pPr>
        <w:widowControl/>
        <w:jc w:val="left"/>
        <w:textAlignment w:val="center"/>
        <w:rPr>
          <w:rFonts w:hint="eastAsia" w:ascii="楷体" w:hAnsi="Cambria Math" w:eastAsia="楷体" w:cs="仿宋"/>
          <w:b w:val="0"/>
          <w:bCs w:val="0"/>
          <w:color w:val="auto"/>
          <w:szCs w:val="21"/>
          <w:lang w:val="en-US" w:eastAsia="zh-CN" w:bidi="ar-SA"/>
        </w:rPr>
      </w:pPr>
      <w:r>
        <w:rPr>
          <w:rFonts w:hint="default" w:ascii="宋体" w:hAnsi="Cambria Math" w:eastAsia="宋体" w:cs="宋体"/>
          <w:b w:val="0"/>
          <w:bCs w:val="0"/>
          <w:color w:val="auto"/>
          <w:szCs w:val="21"/>
          <w:lang w:val="en-US" w:eastAsia="zh-CN" w:bidi="ar-SA"/>
        </w:rPr>
        <w:t>A</w:t>
      </w:r>
      <w:r>
        <w:rPr>
          <w:rFonts w:hint="eastAsia" w:ascii="宋体" w:hAnsi="Cambria Math" w:eastAsia="宋体" w:cs="宋体"/>
          <w:b w:val="0"/>
          <w:bCs w:val="0"/>
          <w:color w:val="auto"/>
          <w:szCs w:val="21"/>
          <w:lang w:val="en-US" w:eastAsia="zh-CN" w:bidi="ar-SA"/>
        </w:rPr>
        <w:t xml:space="preserve">．①②      </w:t>
      </w:r>
      <w:r>
        <w:rPr>
          <w:rFonts w:hint="default" w:ascii="宋体" w:hAnsi="Cambria Math" w:eastAsia="宋体" w:cs="宋体"/>
          <w:b w:val="0"/>
          <w:bCs w:val="0"/>
          <w:color w:val="auto"/>
          <w:szCs w:val="21"/>
          <w:lang w:val="en-US" w:eastAsia="zh-CN" w:bidi="ar-SA"/>
        </w:rPr>
        <w:t>B</w:t>
      </w:r>
      <w:r>
        <w:rPr>
          <w:rFonts w:hint="eastAsia" w:ascii="宋体" w:hAnsi="Cambria Math" w:eastAsia="宋体" w:cs="宋体"/>
          <w:b w:val="0"/>
          <w:bCs w:val="0"/>
          <w:color w:val="auto"/>
          <w:szCs w:val="21"/>
          <w:lang w:val="en-US" w:eastAsia="zh-CN" w:bidi="ar-SA"/>
        </w:rPr>
        <w:t xml:space="preserve">．②③      </w:t>
      </w:r>
      <w:r>
        <w:rPr>
          <w:rFonts w:hint="default" w:ascii="宋体" w:hAnsi="Cambria Math" w:eastAsia="宋体" w:cs="宋体"/>
          <w:b w:val="0"/>
          <w:bCs w:val="0"/>
          <w:color w:val="auto"/>
          <w:szCs w:val="21"/>
          <w:lang w:val="en-US" w:eastAsia="zh-CN" w:bidi="ar-SA"/>
        </w:rPr>
        <w:t>C</w:t>
      </w:r>
      <w:r>
        <w:rPr>
          <w:rFonts w:hint="eastAsia" w:ascii="宋体" w:hAnsi="Cambria Math" w:eastAsia="宋体" w:cs="宋体"/>
          <w:b w:val="0"/>
          <w:bCs w:val="0"/>
          <w:color w:val="auto"/>
          <w:szCs w:val="21"/>
          <w:lang w:val="en-US" w:eastAsia="zh-CN" w:bidi="ar-SA"/>
        </w:rPr>
        <w:t xml:space="preserve">．①④      </w:t>
      </w:r>
      <w:r>
        <w:rPr>
          <w:rFonts w:hint="default" w:ascii="宋体" w:hAnsi="Cambria Math" w:eastAsia="宋体" w:cs="宋体"/>
          <w:b w:val="0"/>
          <w:bCs w:val="0"/>
          <w:color w:val="auto"/>
          <w:szCs w:val="21"/>
          <w:lang w:val="en-US" w:eastAsia="zh-CN" w:bidi="ar-SA"/>
        </w:rPr>
        <w:t>D</w:t>
      </w:r>
      <w:r>
        <w:rPr>
          <w:rFonts w:hint="eastAsia" w:ascii="宋体" w:hAnsi="Cambria Math" w:eastAsia="宋体" w:cs="宋体"/>
          <w:b w:val="0"/>
          <w:bCs w:val="0"/>
          <w:color w:val="auto"/>
          <w:szCs w:val="21"/>
          <w:lang w:val="en-US" w:eastAsia="zh-CN" w:bidi="ar-SA"/>
        </w:rPr>
        <w:t xml:space="preserve">．③④ </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b w:val="0"/>
          <w:bCs w:val="0"/>
          <w:szCs w:val="21"/>
        </w:rPr>
        <w:drawing>
          <wp:anchor distT="0" distB="0" distL="0" distR="0" simplePos="0" relativeHeight="251659264" behindDoc="0" locked="0" layoutInCell="1" allowOverlap="1">
            <wp:simplePos x="0" y="0"/>
            <wp:positionH relativeFrom="column">
              <wp:posOffset>3856990</wp:posOffset>
            </wp:positionH>
            <wp:positionV relativeFrom="paragraph">
              <wp:posOffset>40640</wp:posOffset>
            </wp:positionV>
            <wp:extent cx="2084705" cy="2571750"/>
            <wp:effectExtent l="0" t="0" r="10795" b="0"/>
            <wp:wrapSquare wrapText="bothSides"/>
            <wp:docPr id="3"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 "/>
                    <pic:cNvPicPr>
                      <a:picLocks noChangeAspect="1" noChangeArrowheads="1"/>
                    </pic:cNvPicPr>
                  </pic:nvPicPr>
                  <pic:blipFill>
                    <a:blip r:embed="rId8" cstate="print">
                      <a:lum bright="-12000" contrast="24000"/>
                    </a:blip>
                    <a:srcRect b="1165"/>
                    <a:stretch>
                      <a:fillRect/>
                    </a:stretch>
                  </pic:blipFill>
                  <pic:spPr>
                    <a:xfrm>
                      <a:off x="0" y="0"/>
                      <a:ext cx="2084705" cy="2571750"/>
                    </a:xfrm>
                    <a:prstGeom prst="rect">
                      <a:avLst/>
                    </a:prstGeom>
                    <a:noFill/>
                    <a:ln w="9525">
                      <a:noFill/>
                      <a:miter lim="800000"/>
                      <a:headEnd/>
                      <a:tailEnd/>
                    </a:ln>
                  </pic:spPr>
                </pic:pic>
              </a:graphicData>
            </a:graphic>
          </wp:anchor>
        </w:drawing>
      </w:r>
    </w:p>
    <w:p>
      <w:pPr>
        <w:widowControl/>
        <w:bidi w:val="0"/>
        <w:ind w:firstLine="420" w:firstLineChars="200"/>
        <w:jc w:val="left"/>
        <w:rPr>
          <w:b w:val="0"/>
          <w:bCs w:val="0"/>
          <w:szCs w:val="21"/>
        </w:rPr>
      </w:pPr>
      <w:r>
        <w:rPr>
          <w:rFonts w:hint="eastAsia" w:ascii="楷体" w:hAnsi="Cambria Math" w:eastAsia="楷体" w:cs="仿宋"/>
          <w:b w:val="0"/>
          <w:bCs w:val="0"/>
          <w:color w:val="auto"/>
          <w:szCs w:val="21"/>
          <w:lang w:val="en-US" w:eastAsia="zh-CN" w:bidi="ar-SA"/>
        </w:rPr>
        <w:t>隋唐时期，冷泉关素称 “燕冀之御，秦蜀之经”，是重要的战略关卡。明朝期间因躲避贼寇和自然灾害，逐步形成了可居、可防、可匿的封闭堡寨。明清以后，村落从山脊发展到山脚，再到汾河两岸平地。下图3为明朝冷泉堡寨的地形状况。据此完成7-9题。</w:t>
      </w:r>
    </w:p>
    <w:p>
      <w:pPr>
        <w:widowControl/>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7．</w:t>
      </w:r>
      <w:r>
        <w:rPr>
          <w:rFonts w:hint="default" w:ascii="宋体" w:hAnsi="Cambria Math" w:eastAsia="宋体" w:cs="宋体"/>
          <w:b w:val="0"/>
          <w:bCs w:val="0"/>
          <w:color w:val="auto"/>
          <w:szCs w:val="21"/>
          <w:lang w:val="en-US" w:eastAsia="zh-CN" w:bidi="ar-SA"/>
        </w:rPr>
        <w:t>隋唐时期，冷泉关</w:t>
      </w:r>
      <w:r>
        <w:rPr>
          <w:rFonts w:hint="eastAsia" w:ascii="宋体" w:hAnsi="Cambria Math" w:eastAsia="宋体" w:cs="宋体"/>
          <w:b w:val="0"/>
          <w:bCs w:val="0"/>
          <w:color w:val="auto"/>
          <w:szCs w:val="21"/>
          <w:lang w:val="en-US" w:eastAsia="zh-CN" w:bidi="ar-SA"/>
        </w:rPr>
        <w:t xml:space="preserve">成为重要的战略关卡，主要因为 </w:t>
      </w:r>
    </w:p>
    <w:p>
      <w:pPr>
        <w:widowControl/>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 山地地形复杂，易守难攻      B. 南北道路咽喉，易于防御</w:t>
      </w:r>
    </w:p>
    <w:p>
      <w:pPr>
        <w:widowControl/>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C..自然条件恶劣，人迹罕至      D. 河流东西阻隔，天然屏障   </w:t>
      </w:r>
    </w:p>
    <w:p>
      <w:pPr>
        <w:widowControl/>
        <w:numPr>
          <w:ilvl w:val="0"/>
          <w:numId w:val="4"/>
        </w:numPr>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明朝期间，</w:t>
      </w:r>
      <w:r>
        <w:rPr>
          <w:rFonts w:hint="default" w:ascii="宋体" w:hAnsi="Cambria Math" w:eastAsia="宋体" w:cs="宋体"/>
          <w:b w:val="0"/>
          <w:bCs w:val="0"/>
          <w:color w:val="auto"/>
          <w:szCs w:val="21"/>
          <w:lang w:val="en-US" w:eastAsia="zh-CN" w:bidi="ar-SA"/>
        </w:rPr>
        <w:t>冷泉堡寨</w:t>
      </w:r>
      <w:r>
        <w:rPr>
          <w:rFonts w:hint="eastAsia" w:ascii="宋体" w:hAnsi="Cambria Math" w:eastAsia="宋体" w:cs="宋体"/>
          <w:b w:val="0"/>
          <w:bCs w:val="0"/>
          <w:color w:val="auto"/>
          <w:szCs w:val="21"/>
          <w:lang w:val="en-US" w:eastAsia="zh-CN" w:bidi="ar-SA"/>
        </w:rPr>
        <w:t>的选址主要抵御的自然灾害最可能为</w:t>
      </w:r>
    </w:p>
    <w:p>
      <w:pPr>
        <w:widowControl/>
        <w:numPr>
          <w:ilvl w:val="0"/>
          <w:numId w:val="5"/>
        </w:numPr>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战乱       B. 风沙       C. 洪涝       D. 寒潮</w:t>
      </w:r>
    </w:p>
    <w:p>
      <w:pPr>
        <w:widowControl/>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9. 后期，冷泉堡寨的形态演变为开放型，主要是因为</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A. 经济发展水平提高         B. 社会秩序稳定  </w:t>
      </w:r>
    </w:p>
    <w:p>
      <w:pPr>
        <w:widowControl/>
        <w:jc w:val="left"/>
        <w:textAlignment w:val="center"/>
        <w:rPr>
          <w:rFonts w:hint="eastAsia" w:ascii="楷体" w:hAnsi="Cambria Math" w:eastAsia="楷体" w:cs="仿宋"/>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C. 交通运输方式的改变       D. 追求生活便利</w:t>
      </w:r>
    </w:p>
    <w:p>
      <w:pPr>
        <w:widowControl/>
        <w:bidi w:val="0"/>
        <w:ind w:firstLine="420" w:firstLineChars="200"/>
        <w:jc w:val="left"/>
        <w:rPr>
          <w:rFonts w:hint="eastAsia" w:ascii="楷体" w:hAnsi="Cambria Math" w:eastAsia="楷体" w:cs="仿宋"/>
          <w:b w:val="0"/>
          <w:bCs w:val="0"/>
          <w:color w:val="auto"/>
          <w:szCs w:val="21"/>
          <w:lang w:val="en-US" w:eastAsia="zh-CN" w:bidi="ar-SA"/>
        </w:rPr>
      </w:pP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液化天然气（LNG）是将天然气压缩、冷却至其沸点温度（-161.5℃）后加工而成的液体。下图为亚马尔半岛位置图，萨别塔港的液化天然气项目是中俄合资建设的大型能源工程，该工程建成后每年将至少有400万吨液化天然气产品运往中国市场。读图完成下面小题。</w:t>
      </w:r>
    </w:p>
    <w:p>
      <w:pPr>
        <w:spacing w:line="360" w:lineRule="auto"/>
        <w:jc w:val="center"/>
        <w:textAlignment w:val="center"/>
        <w:rPr>
          <w:b w:val="0"/>
          <w:bCs w:val="0"/>
        </w:rPr>
      </w:pPr>
      <w:r>
        <w:rPr>
          <w:b w:val="0"/>
          <w:bCs w:val="0"/>
          <w:bdr w:val="single" w:color="auto" w:sz="4" w:space="0"/>
        </w:rPr>
        <w:drawing>
          <wp:inline distT="0" distB="0" distL="114300" distR="114300">
            <wp:extent cx="3978910" cy="1870075"/>
            <wp:effectExtent l="0" t="0" r="2540" b="1587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pic:cNvPicPr>
                      <a:picLocks noChangeAspect="1"/>
                    </pic:cNvPicPr>
                  </pic:nvPicPr>
                  <pic:blipFill>
                    <a:blip r:embed="rId9">
                      <a:lum bright="-12000" contrast="36000"/>
                    </a:blip>
                    <a:stretch>
                      <a:fillRect/>
                    </a:stretch>
                  </pic:blipFill>
                  <pic:spPr>
                    <a:xfrm>
                      <a:off x="0" y="0"/>
                      <a:ext cx="3978910" cy="1870075"/>
                    </a:xfrm>
                    <a:prstGeom prst="rect">
                      <a:avLst/>
                    </a:prstGeom>
                    <a:noFill/>
                    <a:ln>
                      <a:noFill/>
                    </a:ln>
                  </pic:spPr>
                </pic:pic>
              </a:graphicData>
            </a:graphic>
          </wp:inline>
        </w:drawing>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10．萨别塔港的液化天然气项目对中、俄两国的影响有（   ）</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①促进俄罗斯能源开发，开拓销售市场           ②减轻俄罗斯就业压力，改变能源消费结构</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③增加我国清洁能源比重，消除大气环境污染     ④缓解我国能源供需矛盾，有利于国家能源安全</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A．①③</w:t>
      </w:r>
      <w:r>
        <w:rPr>
          <w:rFonts w:hint="eastAsia" w:ascii="宋体" w:hAnsi="Cambria Math" w:eastAsia="宋体" w:cs="宋体"/>
          <w:b w:val="0"/>
          <w:bCs w:val="0"/>
          <w:color w:val="auto"/>
          <w:szCs w:val="21"/>
          <w:lang w:val="en-US" w:eastAsia="zh-CN" w:bidi="ar-SA"/>
        </w:rPr>
        <w:tab/>
      </w:r>
      <w:r>
        <w:rPr>
          <w:rFonts w:hint="eastAsia" w:ascii="宋体" w:hAnsi="Cambria Math" w:eastAsia="宋体" w:cs="宋体"/>
          <w:b w:val="0"/>
          <w:bCs w:val="0"/>
          <w:color w:val="auto"/>
          <w:szCs w:val="21"/>
          <w:lang w:val="en-US" w:eastAsia="zh-CN" w:bidi="ar-SA"/>
        </w:rPr>
        <w:t xml:space="preserve">       B．②④</w:t>
      </w:r>
      <w:r>
        <w:rPr>
          <w:rFonts w:hint="eastAsia" w:ascii="宋体" w:hAnsi="Cambria Math" w:eastAsia="宋体" w:cs="宋体"/>
          <w:b w:val="0"/>
          <w:bCs w:val="0"/>
          <w:color w:val="auto"/>
          <w:szCs w:val="21"/>
          <w:lang w:val="en-US" w:eastAsia="zh-CN" w:bidi="ar-SA"/>
        </w:rPr>
        <w:tab/>
      </w:r>
      <w:r>
        <w:rPr>
          <w:rFonts w:hint="eastAsia" w:ascii="宋体" w:hAnsi="Cambria Math" w:eastAsia="宋体" w:cs="宋体"/>
          <w:b w:val="0"/>
          <w:bCs w:val="0"/>
          <w:color w:val="auto"/>
          <w:szCs w:val="21"/>
          <w:lang w:val="en-US" w:eastAsia="zh-CN" w:bidi="ar-SA"/>
        </w:rPr>
        <w:t xml:space="preserve">       C．①④</w:t>
      </w:r>
      <w:r>
        <w:rPr>
          <w:rFonts w:hint="eastAsia" w:ascii="宋体" w:hAnsi="Cambria Math" w:eastAsia="宋体" w:cs="宋体"/>
          <w:b w:val="0"/>
          <w:bCs w:val="0"/>
          <w:color w:val="auto"/>
          <w:szCs w:val="21"/>
          <w:lang w:val="en-US" w:eastAsia="zh-CN" w:bidi="ar-SA"/>
        </w:rPr>
        <w:tab/>
      </w:r>
      <w:r>
        <w:rPr>
          <w:rFonts w:hint="eastAsia" w:ascii="宋体" w:hAnsi="Cambria Math" w:eastAsia="宋体" w:cs="宋体"/>
          <w:b w:val="0"/>
          <w:bCs w:val="0"/>
          <w:color w:val="auto"/>
          <w:szCs w:val="21"/>
          <w:lang w:val="en-US" w:eastAsia="zh-CN" w:bidi="ar-SA"/>
        </w:rPr>
        <w:t xml:space="preserve">       D．②③</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11．“北极气”从俄罗斯输往我国，下列关于其运输方式的叙述，正确的是（   ）</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A．宜选用公路运输-机动灵活，装卸方便，对自然条件的适应性强</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B．宜选用管道运输-气体不挥发，损耗小，安全性能高，连续性强</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C．宜选用内河航运-沿鄂毕河-额尔齐斯河，输送至我国新疆境内</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D．宜选用海洋运输-可利用北冰洋航线，但运费会随季节发生波动</w:t>
      </w:r>
    </w:p>
    <w:p>
      <w:pPr>
        <w:widowControl/>
        <w:bidi w:val="0"/>
        <w:ind w:firstLine="420" w:firstLineChars="200"/>
        <w:jc w:val="left"/>
        <w:rPr>
          <w:rFonts w:hint="eastAsia" w:ascii="楷体" w:hAnsi="Cambria Math" w:eastAsia="楷体" w:cs="仿宋"/>
          <w:b w:val="0"/>
          <w:bCs w:val="0"/>
          <w:color w:val="auto"/>
          <w:szCs w:val="21"/>
          <w:lang w:val="en-US" w:eastAsia="zh-CN" w:bidi="ar-SA"/>
        </w:rPr>
      </w:pP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蜀道难，难于上青天”，秦岭、大巴山地形崎岖，限制了南北两侧的人员往来和经济联系。2017年12月6日，作为我国第一条穿越秦岭、连接西安至成都的高铁客运专线正式开通，让“蜀道难”成为了历史。读下图，回答12—14题。</w:t>
      </w:r>
    </w:p>
    <w:p>
      <w:pPr>
        <w:widowControl/>
        <w:spacing w:line="210" w:lineRule="atLeast"/>
        <w:jc w:val="left"/>
        <w:rPr>
          <w:rFonts w:hint="eastAsia" w:ascii="微软雅黑" w:hAnsi="微软雅黑" w:eastAsia="微软雅黑" w:cs="宋体"/>
          <w:b w:val="0"/>
          <w:bCs w:val="0"/>
          <w:kern w:val="0"/>
          <w:sz w:val="14"/>
          <w:szCs w:val="14"/>
          <w:lang w:eastAsia="zh-CN"/>
        </w:rPr>
      </w:pPr>
      <w:r>
        <w:rPr>
          <w:rFonts w:hint="eastAsia" w:ascii="微软雅黑" w:hAnsi="微软雅黑" w:eastAsia="微软雅黑" w:cs="宋体"/>
          <w:b w:val="0"/>
          <w:bCs w:val="0"/>
          <w:kern w:val="0"/>
          <w:sz w:val="14"/>
          <w:szCs w:val="14"/>
          <w:lang w:eastAsia="zh-CN"/>
        </w:rPr>
        <w:drawing>
          <wp:inline distT="0" distB="0" distL="114300" distR="114300">
            <wp:extent cx="5494655" cy="1158240"/>
            <wp:effectExtent l="0" t="0" r="10795" b="3810"/>
            <wp:docPr id="11" name="图片 11" descr="d9d082975819a6737573f10b4390f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9d082975819a6737573f10b4390f484"/>
                    <pic:cNvPicPr>
                      <a:picLocks noChangeAspect="1"/>
                    </pic:cNvPicPr>
                  </pic:nvPicPr>
                  <pic:blipFill>
                    <a:blip r:embed="rId10">
                      <a:lum bright="6000" contrast="6000"/>
                    </a:blip>
                    <a:srcRect t="790" b="3160"/>
                    <a:stretch>
                      <a:fillRect/>
                    </a:stretch>
                  </pic:blipFill>
                  <pic:spPr>
                    <a:xfrm>
                      <a:off x="0" y="0"/>
                      <a:ext cx="5494655" cy="1158240"/>
                    </a:xfrm>
                    <a:prstGeom prst="rect">
                      <a:avLst/>
                    </a:prstGeom>
                  </pic:spPr>
                </pic:pic>
              </a:graphicData>
            </a:graphic>
          </wp:inline>
        </w:drawing>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12．西成高铁穿越了</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A．地势第二、第三阶梯   B．季风区与非季风区  C．黄河流域和淮河流域   D．湿润区与半湿润区</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13．西成高速铁路线通车，对其区域经济发展的影响是</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A．推动了成都附近区域的产业结构升级          B．带动沿线地区的旅游业发展</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C．促进区域间物资调配和经济协同发展          D．利于沿线地区的生态环境保护</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14．2018年春节期间，某游客从西安到成都沿途看到的传统文化差异，主要表现在</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A．南段居民喜面食，北段百姓偏麻辣            B．南段看民间皮影，北段赏变脸艺术</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C．南段有棉纺布艺，北段多丝织锦绣            D．南段多为尖顶屋，北段可见半坡房</w:t>
      </w:r>
    </w:p>
    <w:p>
      <w:pPr>
        <w:widowControl/>
        <w:bidi w:val="0"/>
        <w:ind w:firstLine="420" w:firstLineChars="200"/>
        <w:jc w:val="left"/>
        <w:rPr>
          <w:rFonts w:hint="eastAsia" w:ascii="楷体" w:hAnsi="Cambria Math" w:eastAsia="楷体" w:cs="仿宋"/>
          <w:b w:val="0"/>
          <w:bCs w:val="0"/>
          <w:color w:val="auto"/>
          <w:szCs w:val="21"/>
          <w:lang w:val="en-US" w:eastAsia="zh-CN" w:bidi="ar-SA"/>
        </w:rPr>
      </w:pP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高雄湾（下图）是一个狭长的小海湾，长12公里，宽1—1.5公里，入口宽仅100米，海湾内的高雄港是我国台湾省内最大的海港，每天有大量货轮出入。据此完成15-17题。</w:t>
      </w:r>
    </w:p>
    <w:p>
      <w:pPr>
        <w:widowControl/>
        <w:spacing w:line="210" w:lineRule="atLeast"/>
        <w:jc w:val="center"/>
        <w:rPr>
          <w:rFonts w:hint="eastAsia" w:ascii="微软雅黑" w:hAnsi="微软雅黑" w:eastAsia="微软雅黑" w:cs="宋体"/>
          <w:b w:val="0"/>
          <w:bCs w:val="0"/>
          <w:kern w:val="0"/>
          <w:sz w:val="14"/>
          <w:szCs w:val="14"/>
          <w:lang w:eastAsia="zh-CN"/>
        </w:rPr>
      </w:pPr>
      <w:r>
        <w:rPr>
          <w:rFonts w:hint="eastAsia" w:ascii="微软雅黑" w:hAnsi="微软雅黑" w:eastAsia="微软雅黑" w:cs="宋体"/>
          <w:b w:val="0"/>
          <w:bCs w:val="0"/>
          <w:kern w:val="0"/>
          <w:sz w:val="14"/>
          <w:szCs w:val="14"/>
          <w:lang w:eastAsia="zh-CN"/>
        </w:rPr>
        <w:drawing>
          <wp:inline distT="0" distB="0" distL="114300" distR="114300">
            <wp:extent cx="3119120" cy="1421765"/>
            <wp:effectExtent l="0" t="0" r="5080" b="6985"/>
            <wp:docPr id="15" name="图片 15" descr="d3f2e06ee2261c43194ef7128e11f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3f2e06ee2261c43194ef7128e11f40c"/>
                    <pic:cNvPicPr>
                      <a:picLocks noChangeAspect="1"/>
                    </pic:cNvPicPr>
                  </pic:nvPicPr>
                  <pic:blipFill>
                    <a:blip r:embed="rId11"/>
                    <a:srcRect b="1970"/>
                    <a:stretch>
                      <a:fillRect/>
                    </a:stretch>
                  </pic:blipFill>
                  <pic:spPr>
                    <a:xfrm>
                      <a:off x="0" y="0"/>
                      <a:ext cx="3119120" cy="1421765"/>
                    </a:xfrm>
                    <a:prstGeom prst="rect">
                      <a:avLst/>
                    </a:prstGeom>
                  </pic:spPr>
                </pic:pic>
              </a:graphicData>
            </a:graphic>
          </wp:inline>
        </w:drawing>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15．旗津半岛被开挖切断的主要目的是</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A．发展海岛旅游        B．保护海洋环境        C．加快污染扩散        D．提高通航能力</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16．旗津半岛成为岛屿后，与高雄市区的交通主要依靠</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A．跨海大桥        B．海底隧道         C．民航航空         D．海河联运</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17．高雄货运码头在每年6—9月份经常遭遇到阶段性停运，主要原因是</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A．台风活动         B．高温酷热         C．禁捕休渔         D．水位下降</w:t>
      </w:r>
    </w:p>
    <w:p>
      <w:pPr>
        <w:widowControl/>
        <w:bidi w:val="0"/>
        <w:ind w:firstLine="420" w:firstLineChars="200"/>
        <w:jc w:val="left"/>
        <w:rPr>
          <w:rFonts w:hint="eastAsia" w:ascii="楷体" w:hAnsi="Cambria Math" w:eastAsia="楷体" w:cs="仿宋"/>
          <w:b w:val="0"/>
          <w:bCs w:val="0"/>
          <w:color w:val="auto"/>
          <w:szCs w:val="21"/>
          <w:lang w:val="en-US" w:eastAsia="zh-CN" w:bidi="ar-SA"/>
        </w:rPr>
      </w:pPr>
    </w:p>
    <w:p>
      <w:pPr>
        <w:widowControl/>
        <w:bidi w:val="0"/>
        <w:ind w:firstLine="280" w:firstLineChars="200"/>
        <w:jc w:val="left"/>
        <w:rPr>
          <w:rFonts w:ascii="微软雅黑" w:hAnsi="微软雅黑" w:eastAsia="微软雅黑" w:cs="宋体"/>
          <w:b w:val="0"/>
          <w:bCs w:val="0"/>
          <w:kern w:val="0"/>
          <w:sz w:val="14"/>
          <w:szCs w:val="14"/>
        </w:rPr>
      </w:pPr>
      <w:r>
        <w:rPr>
          <w:rFonts w:ascii="微软雅黑" w:hAnsi="微软雅黑" w:eastAsia="微软雅黑" w:cs="宋体"/>
          <w:b w:val="0"/>
          <w:bCs w:val="0"/>
          <w:kern w:val="0"/>
          <w:sz w:val="14"/>
          <w:szCs w:val="14"/>
        </w:rPr>
        <w:drawing>
          <wp:anchor distT="0" distB="0" distL="0" distR="0" simplePos="0" relativeHeight="251660288" behindDoc="0" locked="0" layoutInCell="1" allowOverlap="1">
            <wp:simplePos x="0" y="0"/>
            <wp:positionH relativeFrom="column">
              <wp:posOffset>3689985</wp:posOffset>
            </wp:positionH>
            <wp:positionV relativeFrom="paragraph">
              <wp:posOffset>652145</wp:posOffset>
            </wp:positionV>
            <wp:extent cx="2244090" cy="1543050"/>
            <wp:effectExtent l="0" t="0" r="3810" b="0"/>
            <wp:wrapSquare wrapText="bothSides"/>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noChangeArrowheads="1"/>
                    </pic:cNvPicPr>
                  </pic:nvPicPr>
                  <pic:blipFill>
                    <a:blip r:embed="rId12" cstate="print">
                      <a:lum bright="-12000" contrast="24000"/>
                    </a:blip>
                    <a:srcRect l="30037" t="29272" r="27444" b="18694"/>
                    <a:stretch>
                      <a:fillRect/>
                    </a:stretch>
                  </pic:blipFill>
                  <pic:spPr>
                    <a:xfrm>
                      <a:off x="0" y="0"/>
                      <a:ext cx="2244090" cy="1543050"/>
                    </a:xfrm>
                    <a:prstGeom prst="rect">
                      <a:avLst/>
                    </a:prstGeom>
                    <a:noFill/>
                    <a:ln w="9525">
                      <a:noFill/>
                      <a:miter lim="800000"/>
                      <a:headEnd/>
                      <a:tailEnd/>
                    </a:ln>
                  </pic:spPr>
                </pic:pic>
              </a:graphicData>
            </a:graphic>
          </wp:anchor>
        </w:drawing>
      </w:r>
      <w:r>
        <w:rPr>
          <w:rFonts w:hint="eastAsia" w:ascii="楷体" w:hAnsi="Cambria Math" w:eastAsia="楷体" w:cs="仿宋"/>
          <w:b w:val="0"/>
          <w:bCs w:val="0"/>
          <w:color w:val="auto"/>
          <w:szCs w:val="21"/>
          <w:lang w:val="en-US" w:eastAsia="zh-CN" w:bidi="ar-SA"/>
        </w:rPr>
        <w:t>2016年国家重点工程山东烟台（蓬莱）到辽宁大连（旅顺）海底隧道施工方案正式出炉，整条隧道全长123km，火车设计时速为250km，运行速度达到220km/h，届时从烟台到大连最多只需要40分钟。工程将采纳全海底隧道方案，以火车载运汽车通行，改变原有汽车轮渡通行方式。据此完成18—20题。</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18．与桥梁方案工程相比，采取全海底隧道方案的优势可能有</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A．对海洋的污染较小     B．利于居民出行  </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C．降低极端天气影响     D．降低工程难度</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19．该工程建成后，将可能面临的威胁是</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A．海水侵蚀    B．地震灾害    C．台风威胁    D．海底低温</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20．该隧道通车后，对两地间原有交通运输方式影响最大的是</w:t>
      </w: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A．公路     B．管道      C．海运     D．航空</w:t>
      </w:r>
    </w:p>
    <w:p>
      <w:pPr>
        <w:widowControl/>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21. 阅读图文资料，完成下列要求。</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马尔代夫是印度洋上赤道附近的一个岛国，由1200余个小珊瑚岛屿组成，附近海底多珊瑚砂（以珊瑚碎屑为主的钙质砂），其透水性能良好。</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位于马累的维拉纳机场是马尔代夫唯一的国际机场，主要由我国参与的机场扩建项目是“一带一路”倡议的重要节点工程。参与扩建的中国企业全程采用数字化施工技术，此技术以工程项目为核心，通过专业化、智能化和协同化的信息技术，搭建数字建造项目协作平台，通过平台运行完善信息传递流程，为各个岗位的负责人及时推送准确的信息，保证各责任人及时收集、分析问题原因，并对其进行整改。下图示意马尔代夫局部区域及机场景观。</w:t>
      </w:r>
    </w:p>
    <w:p>
      <w:pPr>
        <w:widowControl/>
        <w:spacing w:after="50" w:line="210" w:lineRule="atLeast"/>
        <w:ind w:right="120" w:firstLine="405"/>
        <w:jc w:val="center"/>
        <w:textAlignment w:val="center"/>
        <w:rPr>
          <w:rFonts w:ascii="微软雅黑" w:hAnsi="微软雅黑" w:eastAsia="微软雅黑" w:cs="宋体"/>
          <w:b w:val="0"/>
          <w:bCs w:val="0"/>
          <w:kern w:val="0"/>
          <w:sz w:val="14"/>
          <w:szCs w:val="14"/>
        </w:rPr>
      </w:pPr>
      <w:r>
        <w:rPr>
          <w:rFonts w:hint="eastAsia" w:ascii="楷体" w:hAnsi="楷体" w:eastAsia="楷体" w:cs="Times New Roman"/>
          <w:b w:val="0"/>
          <w:bCs w:val="0"/>
          <w:kern w:val="0"/>
          <w:szCs w:val="21"/>
          <w:lang w:eastAsia="zh-CN"/>
        </w:rPr>
        <w:drawing>
          <wp:inline distT="0" distB="0" distL="114300" distR="114300">
            <wp:extent cx="2025015" cy="1941195"/>
            <wp:effectExtent l="0" t="0" r="13335" b="1905"/>
            <wp:docPr id="17" name="图片 17" descr="4078b1e0f88a9191067c54fa1dd26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078b1e0f88a9191067c54fa1dd265a2"/>
                    <pic:cNvPicPr>
                      <a:picLocks noChangeAspect="1"/>
                    </pic:cNvPicPr>
                  </pic:nvPicPr>
                  <pic:blipFill>
                    <a:blip r:embed="rId13"/>
                    <a:srcRect r="42284" b="968"/>
                    <a:stretch>
                      <a:fillRect/>
                    </a:stretch>
                  </pic:blipFill>
                  <pic:spPr>
                    <a:xfrm>
                      <a:off x="0" y="0"/>
                      <a:ext cx="2025015" cy="1941195"/>
                    </a:xfrm>
                    <a:prstGeom prst="rect">
                      <a:avLst/>
                    </a:prstGeom>
                  </pic:spPr>
                </pic:pic>
              </a:graphicData>
            </a:graphic>
          </wp:inline>
        </w:drawing>
      </w:r>
      <w:r>
        <w:rPr>
          <w:rFonts w:ascii="微软雅黑" w:hAnsi="微软雅黑" w:eastAsia="微软雅黑" w:cs="宋体"/>
          <w:b w:val="0"/>
          <w:bCs w:val="0"/>
          <w:kern w:val="0"/>
          <w:sz w:val="14"/>
          <w:szCs w:val="14"/>
        </w:rPr>
        <w:drawing>
          <wp:inline distT="0" distB="0" distL="0" distR="0">
            <wp:extent cx="2381250" cy="1743075"/>
            <wp:effectExtent l="0" t="0" r="0" b="9525"/>
            <wp:docPr id="12" name="图片 1" descr="C:\Users\lenovo\Desktop\166808900_3_2019072411094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enovo\Desktop\166808900_3_20190724110946347.jpg"/>
                    <pic:cNvPicPr>
                      <a:picLocks noChangeAspect="1" noChangeArrowheads="1"/>
                    </pic:cNvPicPr>
                  </pic:nvPicPr>
                  <pic:blipFill>
                    <a:blip r:embed="rId14" cstate="print"/>
                    <a:srcRect l="50108" t="20969" r="1493" b="14816"/>
                    <a:stretch>
                      <a:fillRect/>
                    </a:stretch>
                  </pic:blipFill>
                  <pic:spPr>
                    <a:xfrm>
                      <a:off x="0" y="0"/>
                      <a:ext cx="2381250" cy="1743075"/>
                    </a:xfrm>
                    <a:prstGeom prst="rect">
                      <a:avLst/>
                    </a:prstGeom>
                    <a:noFill/>
                    <a:ln w="9525">
                      <a:noFill/>
                      <a:miter lim="800000"/>
                      <a:headEnd/>
                      <a:tailEnd/>
                    </a:ln>
                  </pic:spPr>
                </pic:pic>
              </a:graphicData>
            </a:graphic>
          </wp:inline>
        </w:drawing>
      </w:r>
    </w:p>
    <w:p>
      <w:pPr>
        <w:widowControl/>
        <w:numPr>
          <w:ilvl w:val="0"/>
          <w:numId w:val="6"/>
        </w:numPr>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简述维拉纳国际机场扩建对马尔代夫发展的社会经济价值。</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6"/>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分析维拉纳国际机场扩建过程中利用海底珊瑚砂填海造陆的原因。</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6"/>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指出马尔代夫机场扩建项目中，数字化施工技术的应用对机场建设的益处。</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（4）除施工人员为身体安康需要防范的问题外，说明在机场扩建过程中可能遇到的其它问题。</w:t>
      </w:r>
    </w:p>
    <w:p>
      <w:pPr>
        <w:widowControl/>
        <w:jc w:val="left"/>
        <w:textAlignment w:val="center"/>
        <w:rPr>
          <w:rFonts w:hint="default" w:ascii="宋体" w:hAnsi="Cambria Math" w:eastAsia="宋体" w:cs="宋体"/>
          <w:b w:val="0"/>
          <w:bCs w:val="0"/>
          <w:color w:val="auto"/>
          <w:szCs w:val="21"/>
          <w:lang w:val="en-US" w:eastAsia="zh-CN" w:bidi="ar-SA"/>
        </w:rPr>
      </w:pPr>
    </w:p>
    <w:p>
      <w:pPr>
        <w:widowControl/>
        <w:jc w:val="left"/>
        <w:textAlignment w:val="center"/>
        <w:rPr>
          <w:rFonts w:hint="eastAsia" w:ascii="宋体" w:hAnsi="Cambria Math" w:eastAsia="宋体" w:cs="宋体"/>
          <w:b w:val="0"/>
          <w:bCs w:val="0"/>
          <w:color w:val="auto"/>
          <w:szCs w:val="21"/>
          <w:lang w:val="en-US" w:eastAsia="zh-CN" w:bidi="ar-SA"/>
        </w:rPr>
      </w:pPr>
    </w:p>
    <w:p>
      <w:pPr>
        <w:widowControl/>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drawing>
          <wp:anchor distT="0" distB="0" distL="114300" distR="114300" simplePos="0" relativeHeight="251663360" behindDoc="0" locked="0" layoutInCell="1" allowOverlap="1">
            <wp:simplePos x="0" y="0"/>
            <wp:positionH relativeFrom="column">
              <wp:posOffset>3525520</wp:posOffset>
            </wp:positionH>
            <wp:positionV relativeFrom="paragraph">
              <wp:posOffset>20320</wp:posOffset>
            </wp:positionV>
            <wp:extent cx="2344420" cy="1848485"/>
            <wp:effectExtent l="0" t="0" r="17780" b="18415"/>
            <wp:wrapSquare wrapText="bothSides"/>
            <wp:docPr id="22" name="图片 22" descr="f4bf63a87979631115592f8f90342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4bf63a87979631115592f8f90342ed2"/>
                    <pic:cNvPicPr>
                      <a:picLocks noChangeAspect="1"/>
                    </pic:cNvPicPr>
                  </pic:nvPicPr>
                  <pic:blipFill>
                    <a:blip r:embed="rId15"/>
                    <a:stretch>
                      <a:fillRect/>
                    </a:stretch>
                  </pic:blipFill>
                  <pic:spPr>
                    <a:xfrm>
                      <a:off x="0" y="0"/>
                      <a:ext cx="2344420" cy="1848485"/>
                    </a:xfrm>
                    <a:prstGeom prst="rect">
                      <a:avLst/>
                    </a:prstGeom>
                  </pic:spPr>
                </pic:pic>
              </a:graphicData>
            </a:graphic>
          </wp:anchor>
        </w:drawing>
      </w:r>
      <w:r>
        <w:rPr>
          <w:rFonts w:hint="eastAsia" w:ascii="宋体" w:hAnsi="Cambria Math" w:eastAsia="宋体" w:cs="宋体"/>
          <w:b w:val="0"/>
          <w:bCs w:val="0"/>
          <w:color w:val="auto"/>
          <w:szCs w:val="21"/>
          <w:lang w:val="en-US" w:eastAsia="zh-CN" w:bidi="ar-SA"/>
        </w:rPr>
        <w:t>22</w:t>
      </w:r>
      <w:r>
        <w:rPr>
          <w:rFonts w:hint="default" w:ascii="宋体" w:hAnsi="Cambria Math" w:eastAsia="宋体" w:cs="宋体"/>
          <w:b w:val="0"/>
          <w:bCs w:val="0"/>
          <w:color w:val="auto"/>
          <w:szCs w:val="21"/>
          <w:lang w:val="en-US" w:eastAsia="zh-CN" w:bidi="ar-SA"/>
        </w:rPr>
        <w:t>.</w:t>
      </w:r>
      <w:r>
        <w:rPr>
          <w:rFonts w:hint="eastAsia" w:ascii="宋体" w:hAnsi="Cambria Math" w:eastAsia="宋体" w:cs="宋体"/>
          <w:b w:val="0"/>
          <w:bCs w:val="0"/>
          <w:color w:val="auto"/>
          <w:szCs w:val="21"/>
          <w:lang w:val="en-US" w:eastAsia="zh-CN" w:bidi="ar-SA"/>
        </w:rPr>
        <w:t xml:space="preserve">【地理一一选修 </w:t>
      </w:r>
      <w:r>
        <w:rPr>
          <w:rFonts w:hint="default" w:ascii="宋体" w:hAnsi="Cambria Math" w:eastAsia="宋体" w:cs="宋体"/>
          <w:b w:val="0"/>
          <w:bCs w:val="0"/>
          <w:color w:val="auto"/>
          <w:szCs w:val="21"/>
          <w:lang w:val="en-US" w:eastAsia="zh-CN" w:bidi="ar-SA"/>
        </w:rPr>
        <w:t>3</w:t>
      </w:r>
      <w:r>
        <w:rPr>
          <w:rFonts w:hint="eastAsia" w:ascii="宋体" w:hAnsi="Cambria Math" w:eastAsia="宋体" w:cs="宋体"/>
          <w:b w:val="0"/>
          <w:bCs w:val="0"/>
          <w:color w:val="auto"/>
          <w:szCs w:val="21"/>
          <w:lang w:val="en-US" w:eastAsia="zh-CN" w:bidi="ar-SA"/>
        </w:rPr>
        <w:t>：旅游地理】（</w:t>
      </w:r>
      <w:r>
        <w:rPr>
          <w:rFonts w:hint="default" w:ascii="宋体" w:hAnsi="Cambria Math" w:eastAsia="宋体" w:cs="宋体"/>
          <w:b w:val="0"/>
          <w:bCs w:val="0"/>
          <w:color w:val="auto"/>
          <w:szCs w:val="21"/>
          <w:lang w:val="en-US" w:eastAsia="zh-CN" w:bidi="ar-SA"/>
        </w:rPr>
        <w:t xml:space="preserve">10 </w:t>
      </w:r>
      <w:r>
        <w:rPr>
          <w:rFonts w:hint="eastAsia" w:ascii="宋体" w:hAnsi="Cambria Math" w:eastAsia="宋体" w:cs="宋体"/>
          <w:b w:val="0"/>
          <w:bCs w:val="0"/>
          <w:color w:val="auto"/>
          <w:szCs w:val="21"/>
          <w:lang w:val="en-US" w:eastAsia="zh-CN" w:bidi="ar-SA"/>
        </w:rPr>
        <w:t xml:space="preserve">分） </w:t>
      </w:r>
    </w:p>
    <w:p>
      <w:pPr>
        <w:widowControl/>
        <w:bidi w:val="0"/>
        <w:ind w:firstLine="420" w:firstLineChars="200"/>
        <w:jc w:val="left"/>
        <w:rPr>
          <w:rFonts w:hint="eastAsia" w:ascii="宋体" w:hAnsi="Cambria Math" w:eastAsia="宋体" w:cs="宋体"/>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 xml:space="preserve">地处江西赣州市北部的兴国县，是我国著名的苏区模范县和将军县，拥有苏园、军馆、革命烈士纪念馆等众 多红色旅游资源。1996 年 9 月，在兴国“绕了个弯”的京九铁路正式通车，兴国终于有了第一条直通北京，迈 向大江南北的大通道，经济发展实现第一次提速。2019 年底，又有一条“绕弯”兴国的铁路昌赣高铁正式通车。 “兴国弯”再次成为热点，兴国由此迈入高铁时代(图 6)。2020 年兴国县红色旅游接待人数超过 300 万人次，同 比增长 20%左右。 </w:t>
      </w:r>
    </w:p>
    <w:p>
      <w:pPr>
        <w:widowControl/>
        <w:numPr>
          <w:ilvl w:val="0"/>
          <w:numId w:val="0"/>
        </w:numPr>
        <w:ind w:leftChars="0"/>
        <w:jc w:val="left"/>
        <w:textAlignment w:val="center"/>
        <w:rPr>
          <w:rFonts w:hint="default"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分析铁路开通对兴国县发挥红色旅游资源优势、促进经济发展的作用。 </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23．阅读图文材料，完成下列问题。</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汕头市南澳县是广东省唯一的海岛县，由37个大小岛屿所组成。主岛面积128．35平方千米（图乙），现有7万多常住人口，周边小岛屿多为无居民小岛。主岛上海岸线曲折，天然深水避风港湾和可供开发旅游的优质沙滩众多。濒临西太平洋国际主航线，自古以来是海上丝绸之路的重要节点。但长期以来，岛陆联系仅靠莱长渡口航线，经济发展缓慢，主要以渔业（沿海水产养殖与捕捞）和耕作业为主，旅游业与港口发展也陷入瓶颈。2009年，连接汕头市莱芜半岛与南澳岛的南澳大桥开工建设。由于桥梁修建对施工环境要求高，一度进展缓慢，后来改用墩身挂靠可移动式平台取代船舶式平台承接浇筑机械施工（图甲），施工速度大大提高。2015年全长9341米的南澳大桥建成通车，极大地改善了岛陆联系。有人说，南澳大桥的建设重新点亮了南澳岛这颗“海上明珠”，未来规划将进一步完善主岛与附属岛屿的交通联系，但不考虑建桥，而将建设海底观光走廊。</w:t>
      </w:r>
    </w:p>
    <w:p>
      <w:pPr>
        <w:widowControl/>
        <w:spacing w:line="210" w:lineRule="atLeast"/>
        <w:jc w:val="left"/>
        <w:rPr>
          <w:rFonts w:hint="eastAsia" w:ascii="微软雅黑" w:hAnsi="微软雅黑" w:eastAsia="微软雅黑" w:cs="宋体"/>
          <w:b w:val="0"/>
          <w:bCs w:val="0"/>
          <w:kern w:val="0"/>
          <w:sz w:val="14"/>
          <w:szCs w:val="14"/>
          <w:lang w:eastAsia="zh-CN"/>
        </w:rPr>
      </w:pPr>
      <w:r>
        <w:rPr>
          <w:rFonts w:hint="eastAsia" w:ascii="微软雅黑" w:hAnsi="微软雅黑" w:eastAsia="微软雅黑" w:cs="宋体"/>
          <w:b w:val="0"/>
          <w:bCs w:val="0"/>
          <w:kern w:val="0"/>
          <w:sz w:val="14"/>
          <w:szCs w:val="14"/>
          <w:lang w:eastAsia="zh-CN"/>
        </w:rPr>
        <w:drawing>
          <wp:inline distT="0" distB="0" distL="114300" distR="114300">
            <wp:extent cx="5753735" cy="2434590"/>
            <wp:effectExtent l="0" t="0" r="18415" b="3810"/>
            <wp:docPr id="20" name="图片 20" descr="8bfae4bbd4aa78bc4633fd14b47a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bfae4bbd4aa78bc4633fd14b47a4253"/>
                    <pic:cNvPicPr>
                      <a:picLocks noChangeAspect="1"/>
                    </pic:cNvPicPr>
                  </pic:nvPicPr>
                  <pic:blipFill>
                    <a:blip r:embed="rId16">
                      <a:lum bright="-12000" contrast="30000"/>
                    </a:blip>
                    <a:srcRect b="12044"/>
                    <a:stretch>
                      <a:fillRect/>
                    </a:stretch>
                  </pic:blipFill>
                  <pic:spPr>
                    <a:xfrm>
                      <a:off x="0" y="0"/>
                      <a:ext cx="5753735" cy="2434590"/>
                    </a:xfrm>
                    <a:prstGeom prst="rect">
                      <a:avLst/>
                    </a:prstGeom>
                  </pic:spPr>
                </pic:pic>
              </a:graphicData>
            </a:graphic>
          </wp:inline>
        </w:drawing>
      </w:r>
    </w:p>
    <w:p>
      <w:pPr>
        <w:widowControl/>
        <w:numPr>
          <w:ilvl w:val="0"/>
          <w:numId w:val="7"/>
        </w:numPr>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分析2015年前制约南澳港口发展的瓶颈所在。</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7"/>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试推断南澳大桥建桥过程使用墩身移动式平台施工取代船舶平台施工的自然原因。</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7"/>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分析为何说南澳大桥建成重新点亮了南澳这颗“海上明珠”。</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7"/>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简述未来近主岛的小岛开发不建桥而建海底观光走廊的理由。</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24．阅读图文材料，完成下列要求。</w:t>
      </w:r>
    </w:p>
    <w:p>
      <w:pPr>
        <w:widowControl/>
        <w:bidi w:val="0"/>
        <w:ind w:firstLine="420" w:firstLineChars="200"/>
        <w:jc w:val="left"/>
        <w:rPr>
          <w:b w:val="0"/>
          <w:bCs w:val="0"/>
          <w:sz w:val="20"/>
          <w:szCs w:val="20"/>
        </w:rPr>
      </w:pPr>
      <w:r>
        <w:rPr>
          <w:rFonts w:hint="eastAsia" w:ascii="楷体" w:hAnsi="Cambria Math" w:eastAsia="楷体" w:cs="仿宋"/>
          <w:b w:val="0"/>
          <w:bCs w:val="0"/>
          <w:color w:val="auto"/>
          <w:szCs w:val="21"/>
          <w:lang w:val="en-US" w:eastAsia="zh-CN" w:bidi="ar-SA"/>
        </w:rPr>
        <w:t>道尔顿公路与贯穿阿拉斯加州的输油管道平行，为输油管道的附生品。公路长414英里(约合666公里)，沿线居民不到一百人，公路没有进行任何铺筑，路面上到处都是砾石，沿途不设餐馆与加油站，只有森林、苔原和山脉等原始风貌。下图为道尔顿公路位置图。</w:t>
      </w:r>
      <w:r>
        <w:rPr>
          <w:rFonts w:hint="eastAsia" w:ascii="Times New Roman" w:hAnsi="Times New Roman"/>
          <w:b w:val="0"/>
          <w:bCs w:val="0"/>
          <w:szCs w:val="21"/>
        </w:rPr>
        <w:t xml:space="preserve">           </w:t>
      </w:r>
    </w:p>
    <w:p>
      <w:pPr>
        <w:widowControl/>
        <w:numPr>
          <w:ilvl w:val="0"/>
          <w:numId w:val="8"/>
        </w:numPr>
        <w:ind w:leftChars="0"/>
        <w:jc w:val="left"/>
        <w:textAlignment w:val="center"/>
        <w:rPr>
          <w:rFonts w:hint="eastAsia" w:ascii="宋体" w:hAnsi="Cambria Math" w:eastAsia="宋体" w:cs="宋体"/>
          <w:b w:val="0"/>
          <w:bCs w:val="0"/>
          <w:color w:val="auto"/>
          <w:szCs w:val="21"/>
          <w:lang w:val="en-US" w:eastAsia="zh-CN" w:bidi="ar-SA"/>
        </w:rPr>
      </w:pPr>
      <w:r>
        <w:rPr>
          <w:rFonts w:ascii="Times New Roman" w:hAnsi="Times New Roman"/>
          <w:b w:val="0"/>
          <w:bCs w:val="0"/>
          <w:szCs w:val="21"/>
        </w:rPr>
        <w:drawing>
          <wp:anchor distT="0" distB="0" distL="0" distR="0" simplePos="0" relativeHeight="251661312" behindDoc="0" locked="0" layoutInCell="1" allowOverlap="1">
            <wp:simplePos x="0" y="0"/>
            <wp:positionH relativeFrom="column">
              <wp:posOffset>2798445</wp:posOffset>
            </wp:positionH>
            <wp:positionV relativeFrom="paragraph">
              <wp:posOffset>28575</wp:posOffset>
            </wp:positionV>
            <wp:extent cx="3011805" cy="2272665"/>
            <wp:effectExtent l="0" t="0" r="17145" b="13335"/>
            <wp:wrapSquare wrapText="bothSides"/>
            <wp:docPr id="2"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 "/>
                    <pic:cNvPicPr>
                      <a:picLocks noChangeAspect="1" noChangeArrowheads="1"/>
                    </pic:cNvPicPr>
                  </pic:nvPicPr>
                  <pic:blipFill>
                    <a:blip r:embed="rId17" cstate="print">
                      <a:lum bright="-24000" contrast="66000"/>
                    </a:blip>
                    <a:stretch>
                      <a:fillRect/>
                    </a:stretch>
                  </pic:blipFill>
                  <pic:spPr>
                    <a:xfrm>
                      <a:off x="0" y="0"/>
                      <a:ext cx="3011805" cy="2272665"/>
                    </a:xfrm>
                    <a:prstGeom prst="rect">
                      <a:avLst/>
                    </a:prstGeom>
                    <a:noFill/>
                    <a:ln w="9525">
                      <a:noFill/>
                      <a:miter lim="800000"/>
                      <a:headEnd/>
                      <a:tailEnd/>
                    </a:ln>
                    <a:effectLst/>
                  </pic:spPr>
                </pic:pic>
              </a:graphicData>
            </a:graphic>
          </wp:anchor>
        </w:drawing>
      </w:r>
      <w:r>
        <w:rPr>
          <w:rFonts w:hint="eastAsia" w:ascii="宋体" w:hAnsi="Cambria Math" w:eastAsia="宋体" w:cs="宋体"/>
          <w:b w:val="0"/>
          <w:bCs w:val="0"/>
          <w:color w:val="auto"/>
          <w:szCs w:val="21"/>
          <w:lang w:val="en-US" w:eastAsia="zh-CN" w:bidi="ar-SA"/>
        </w:rPr>
        <w:t>道尔顿公路被称为“世界最危险公路”，请列举它的危险性（6分）。</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8"/>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含砾石的路面比铺筑的路面更有利于车辆行驶，请分析原因（4分）。</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8"/>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推测在道尔顿公路上行驶的车辆的主要目的（8分）。</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25．阅读图文资料，完成下列小题。（10 分） </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翻坝”运输是指来往的客船、集装箱船、汽车滚装船等船舶或运输紧急物资和鲜活食品的船舶，在候闸船舶过多的情况下，为避免花费较长时间候闸过坝，而采用的“水运→陆运→水运”或“水运→陆运”的转运方式。作为三峡水利枢纽的重要组成部分，翻坝物流系统提高了三峡水利枢纽的通过能力。下图左示意三峡翻坝物流系统，其中秭归三峡翻坝物流图（含茅坪港）属于货运枢纽型的港口物流园区（下图右），是长江南岸三峡翻坝物流转运的空间载体和依托。</w:t>
      </w:r>
    </w:p>
    <w:p>
      <w:pPr>
        <w:keepNext w:val="0"/>
        <w:keepLines w:val="0"/>
        <w:widowControl/>
        <w:suppressLineNumbers w:val="0"/>
        <w:jc w:val="left"/>
        <w:rPr>
          <w:b w:val="0"/>
          <w:bCs w:val="0"/>
        </w:rPr>
      </w:pPr>
      <w:r>
        <w:rPr>
          <w:rFonts w:hint="eastAsia" w:ascii="楷体" w:hAnsi="楷体" w:eastAsia="楷体" w:cs="楷体"/>
          <w:b w:val="0"/>
          <w:bCs w:val="0"/>
          <w:color w:val="000000"/>
          <w:kern w:val="0"/>
          <w:sz w:val="20"/>
          <w:szCs w:val="20"/>
          <w:lang w:val="en-US" w:eastAsia="zh-CN" w:bidi="ar"/>
        </w:rPr>
        <w:t xml:space="preserve"> </w:t>
      </w:r>
      <w:r>
        <w:rPr>
          <w:b w:val="0"/>
          <w:bCs w:val="0"/>
        </w:rPr>
        <w:drawing>
          <wp:inline distT="0" distB="0" distL="114300" distR="114300">
            <wp:extent cx="5629910" cy="2112010"/>
            <wp:effectExtent l="0" t="0" r="889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a:lum bright="-12000" contrast="24000"/>
                    </a:blip>
                    <a:srcRect l="19006" t="22973" r="9045" b="29040"/>
                    <a:stretch>
                      <a:fillRect/>
                    </a:stretch>
                  </pic:blipFill>
                  <pic:spPr>
                    <a:xfrm>
                      <a:off x="0" y="0"/>
                      <a:ext cx="5629910" cy="2112010"/>
                    </a:xfrm>
                    <a:prstGeom prst="rect">
                      <a:avLst/>
                    </a:prstGeom>
                    <a:noFill/>
                    <a:ln>
                      <a:noFill/>
                    </a:ln>
                  </pic:spPr>
                </pic:pic>
              </a:graphicData>
            </a:graphic>
          </wp:inline>
        </w:drawing>
      </w:r>
    </w:p>
    <w:p>
      <w:pPr>
        <w:widowControl/>
        <w:numPr>
          <w:ilvl w:val="0"/>
          <w:numId w:val="9"/>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从航运角度分析三峡大坝建成后其上游物流量扩大的原因。（4 分）</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9"/>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说明与候闸过坝运输相比，三峡翻坝物流系统的优势。（6 分） </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26．阅读图文资料，完成下列要求。（20分）</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阿拉斯加是美国的海外州，拥有丰富的森林、矿产、海洋渔业等资源，面积为171万平方千米，人口仅60多万，安克雷奇是阿拉斯加最大的城市和主要港口。阿拉斯加油气资源丰富，北部的油气资源通过管道输送到南部不冻港，再转运到美国本土加工炼制。这是世界上第一条深入北极圈的输油管道，有近一半的输油管道架空铺设，全长约1300公里。管道的建设面临恶劣环境的挑战，要穿越三座山脉、活跃的断层、广大的冻土层和定时迁徙的驯鹿和驼鹿。</w:t>
      </w:r>
    </w:p>
    <w:p>
      <w:pPr>
        <w:snapToGrid/>
        <w:spacing w:before="0" w:beforeAutospacing="0" w:after="0" w:afterAutospacing="0" w:line="360" w:lineRule="auto"/>
        <w:jc w:val="center"/>
        <w:textAlignment w:val="center"/>
        <w:rPr>
          <w:rStyle w:val="17"/>
          <w:rFonts w:ascii="宋体" w:hAnsi="Calibri" w:eastAsia="宋体" w:cs="Times New Roman"/>
          <w:b w:val="0"/>
          <w:bCs w:val="0"/>
          <w:i w:val="0"/>
          <w:caps w:val="0"/>
          <w:color w:val="000000"/>
          <w:spacing w:val="0"/>
          <w:w w:val="100"/>
          <w:kern w:val="2"/>
          <w:sz w:val="21"/>
          <w:szCs w:val="21"/>
          <w:lang w:val="en-US" w:eastAsia="zh-CN" w:bidi="ar-SA"/>
        </w:rPr>
      </w:pPr>
      <w:r>
        <w:rPr>
          <w:rStyle w:val="17"/>
          <w:rFonts w:ascii="宋体" w:hAnsi="Calibri" w:eastAsia="宋体" w:cs="Times New Roman"/>
          <w:b w:val="0"/>
          <w:bCs w:val="0"/>
          <w:i w:val="0"/>
          <w:caps w:val="0"/>
          <w:color w:val="000000"/>
          <w:spacing w:val="0"/>
          <w:w w:val="100"/>
          <w:kern w:val="2"/>
          <w:sz w:val="21"/>
          <w:szCs w:val="21"/>
          <w:lang w:val="en-US" w:eastAsia="zh-CN" w:bidi="ar-SA"/>
        </w:rPr>
        <w:drawing>
          <wp:inline distT="0" distB="0" distL="114300" distR="114300">
            <wp:extent cx="5013325" cy="2169795"/>
            <wp:effectExtent l="0" t="0" r="1587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tretch>
                      <a:fillRect/>
                    </a:stretch>
                  </pic:blipFill>
                  <pic:spPr>
                    <a:xfrm>
                      <a:off x="0" y="0"/>
                      <a:ext cx="5013325" cy="2169795"/>
                    </a:xfrm>
                    <a:prstGeom prst="rect">
                      <a:avLst/>
                    </a:prstGeom>
                    <a:noFill/>
                    <a:ln>
                      <a:noFill/>
                    </a:ln>
                  </pic:spPr>
                </pic:pic>
              </a:graphicData>
            </a:graphic>
          </wp:inline>
        </w:drawing>
      </w:r>
    </w:p>
    <w:p>
      <w:pPr>
        <w:widowControl/>
        <w:numPr>
          <w:ilvl w:val="0"/>
          <w:numId w:val="1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阿拉斯加北部油气资源并没有直接选择海运，而是在陆上修建输油管道，连通到南部沿海港口再出口。解释其原因。（4分）</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（2）分析阿拉斯加地区一部分输油管道架空铺设的自然原因。（6分）</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（3）简述阿拉斯加原油多输往美国本土加工炼制的原因。（6分）</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9"/>
        </w:numPr>
        <w:ind w:left="0" w:leftChars="0" w:firstLine="0" w:firstLine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中国是阿拉斯加州重要的贸易伙伴，阿拉斯加地区与中国经济有很强的互补性。根据材料，推测阿拉斯加对我国进出口的主要农产品，并说明理由。（4分）</w:t>
      </w: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drawing>
          <wp:anchor distT="0" distB="0" distL="114300" distR="114300" simplePos="0" relativeHeight="251662336" behindDoc="0" locked="0" layoutInCell="1" allowOverlap="1">
            <wp:simplePos x="0" y="0"/>
            <wp:positionH relativeFrom="column">
              <wp:posOffset>2607945</wp:posOffset>
            </wp:positionH>
            <wp:positionV relativeFrom="paragraph">
              <wp:posOffset>36195</wp:posOffset>
            </wp:positionV>
            <wp:extent cx="3213735" cy="1856105"/>
            <wp:effectExtent l="0" t="0" r="5715" b="10795"/>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lum bright="-12000" contrast="24000"/>
                    </a:blip>
                    <a:srcRect l="26096" t="20774" r="21104" b="30139"/>
                    <a:stretch>
                      <a:fillRect/>
                    </a:stretch>
                  </pic:blipFill>
                  <pic:spPr>
                    <a:xfrm>
                      <a:off x="0" y="0"/>
                      <a:ext cx="3213735" cy="1856105"/>
                    </a:xfrm>
                    <a:prstGeom prst="rect">
                      <a:avLst/>
                    </a:prstGeom>
                    <a:noFill/>
                    <a:ln>
                      <a:noFill/>
                    </a:ln>
                  </pic:spPr>
                </pic:pic>
              </a:graphicData>
            </a:graphic>
          </wp:anchor>
        </w:drawing>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27</w:t>
      </w:r>
      <w:r>
        <w:rPr>
          <w:rFonts w:hint="default" w:ascii="宋体" w:hAnsi="Cambria Math" w:eastAsia="宋体" w:cs="宋体"/>
          <w:b w:val="0"/>
          <w:bCs w:val="0"/>
          <w:color w:val="auto"/>
          <w:szCs w:val="21"/>
          <w:lang w:val="en-US" w:eastAsia="zh-CN" w:bidi="ar-SA"/>
        </w:rPr>
        <w:t>.</w:t>
      </w:r>
      <w:r>
        <w:rPr>
          <w:rFonts w:hint="eastAsia" w:ascii="宋体" w:hAnsi="Cambria Math" w:eastAsia="宋体" w:cs="宋体"/>
          <w:b w:val="0"/>
          <w:bCs w:val="0"/>
          <w:color w:val="auto"/>
          <w:szCs w:val="21"/>
          <w:lang w:val="en-US" w:eastAsia="zh-CN" w:bidi="ar-SA"/>
        </w:rPr>
        <w:t xml:space="preserve">【地理——选修 </w:t>
      </w:r>
      <w:r>
        <w:rPr>
          <w:rFonts w:hint="default" w:ascii="宋体" w:hAnsi="Cambria Math" w:eastAsia="宋体" w:cs="宋体"/>
          <w:b w:val="0"/>
          <w:bCs w:val="0"/>
          <w:color w:val="auto"/>
          <w:szCs w:val="21"/>
          <w:lang w:val="en-US" w:eastAsia="zh-CN" w:bidi="ar-SA"/>
        </w:rPr>
        <w:t>6</w:t>
      </w:r>
      <w:r>
        <w:rPr>
          <w:rFonts w:hint="eastAsia" w:ascii="宋体" w:hAnsi="Cambria Math" w:eastAsia="宋体" w:cs="宋体"/>
          <w:b w:val="0"/>
          <w:bCs w:val="0"/>
          <w:color w:val="auto"/>
          <w:szCs w:val="21"/>
          <w:lang w:val="en-US" w:eastAsia="zh-CN" w:bidi="ar-SA"/>
        </w:rPr>
        <w:t>:环境保护】(</w:t>
      </w:r>
      <w:r>
        <w:rPr>
          <w:rFonts w:hint="default" w:ascii="宋体" w:hAnsi="Cambria Math" w:eastAsia="宋体" w:cs="宋体"/>
          <w:b w:val="0"/>
          <w:bCs w:val="0"/>
          <w:color w:val="auto"/>
          <w:szCs w:val="21"/>
          <w:lang w:val="en-US" w:eastAsia="zh-CN" w:bidi="ar-SA"/>
        </w:rPr>
        <w:t xml:space="preserve">10 </w:t>
      </w:r>
      <w:r>
        <w:rPr>
          <w:rFonts w:hint="eastAsia" w:ascii="宋体" w:hAnsi="Cambria Math" w:eastAsia="宋体" w:cs="宋体"/>
          <w:b w:val="0"/>
          <w:bCs w:val="0"/>
          <w:color w:val="auto"/>
          <w:szCs w:val="21"/>
          <w:lang w:val="en-US" w:eastAsia="zh-CN" w:bidi="ar-SA"/>
        </w:rPr>
        <w:t xml:space="preserve">分) </w:t>
      </w:r>
    </w:p>
    <w:p>
      <w:pPr>
        <w:widowControl/>
        <w:bidi w:val="0"/>
        <w:ind w:firstLine="420" w:firstLineChars="200"/>
        <w:jc w:val="left"/>
        <w:rPr>
          <w:rFonts w:hint="eastAsia" w:ascii="宋体" w:hAnsi="Cambria Math" w:eastAsia="宋体" w:cs="宋体"/>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 xml:space="preserve">为评估青藏铁路建设和营运对环境的影响，某科研团队对青藏铁路格（尔木）拉（萨）段某 </w:t>
      </w:r>
      <w:r>
        <w:rPr>
          <w:rFonts w:hint="default" w:ascii="楷体" w:hAnsi="Cambria Math" w:eastAsia="楷体" w:cs="仿宋"/>
          <w:b w:val="0"/>
          <w:bCs w:val="0"/>
          <w:color w:val="auto"/>
          <w:szCs w:val="21"/>
          <w:lang w:val="en-US" w:eastAsia="zh-CN" w:bidi="ar-SA"/>
        </w:rPr>
        <w:t xml:space="preserve">11 </w:t>
      </w:r>
      <w:r>
        <w:rPr>
          <w:rFonts w:hint="eastAsia" w:ascii="楷体" w:hAnsi="Cambria Math" w:eastAsia="楷体" w:cs="仿宋"/>
          <w:b w:val="0"/>
          <w:bCs w:val="0"/>
          <w:color w:val="auto"/>
          <w:szCs w:val="21"/>
          <w:lang w:val="en-US" w:eastAsia="zh-CN" w:bidi="ar-SA"/>
        </w:rPr>
        <w:t xml:space="preserve">千米长的风 沙活动路段两侧进行了调查，结果如表 </w:t>
      </w:r>
      <w:r>
        <w:rPr>
          <w:rFonts w:hint="default" w:ascii="楷体" w:hAnsi="Cambria Math" w:eastAsia="楷体" w:cs="仿宋"/>
          <w:b w:val="0"/>
          <w:bCs w:val="0"/>
          <w:color w:val="auto"/>
          <w:szCs w:val="21"/>
          <w:lang w:val="en-US" w:eastAsia="zh-CN" w:bidi="ar-SA"/>
        </w:rPr>
        <w:t xml:space="preserve">3 </w:t>
      </w:r>
      <w:r>
        <w:rPr>
          <w:rFonts w:hint="eastAsia" w:ascii="楷体" w:hAnsi="Cambria Math" w:eastAsia="楷体" w:cs="仿宋"/>
          <w:b w:val="0"/>
          <w:bCs w:val="0"/>
          <w:color w:val="auto"/>
          <w:szCs w:val="21"/>
          <w:lang w:val="en-US" w:eastAsia="zh-CN" w:bidi="ar-SA"/>
        </w:rPr>
        <w:t>所示，其中工程治沙地视为固定沙地，</w:t>
      </w:r>
      <w:r>
        <w:rPr>
          <w:rFonts w:hint="default" w:ascii="楷体" w:hAnsi="Cambria Math" w:eastAsia="楷体" w:cs="仿宋"/>
          <w:b w:val="0"/>
          <w:bCs w:val="0"/>
          <w:color w:val="auto"/>
          <w:szCs w:val="21"/>
          <w:lang w:val="en-US" w:eastAsia="zh-CN" w:bidi="ar-SA"/>
        </w:rPr>
        <w:t>2001</w:t>
      </w:r>
      <w:r>
        <w:rPr>
          <w:rFonts w:hint="eastAsia" w:ascii="楷体" w:hAnsi="Cambria Math" w:eastAsia="楷体" w:cs="仿宋"/>
          <w:b w:val="0"/>
          <w:bCs w:val="0"/>
          <w:color w:val="auto"/>
          <w:szCs w:val="21"/>
          <w:lang w:val="en-US" w:eastAsia="zh-CN" w:bidi="ar-SA"/>
        </w:rPr>
        <w:t>～</w:t>
      </w:r>
      <w:r>
        <w:rPr>
          <w:rFonts w:hint="default" w:ascii="楷体" w:hAnsi="Cambria Math" w:eastAsia="楷体" w:cs="仿宋"/>
          <w:b w:val="0"/>
          <w:bCs w:val="0"/>
          <w:color w:val="auto"/>
          <w:szCs w:val="21"/>
          <w:lang w:val="en-US" w:eastAsia="zh-CN" w:bidi="ar-SA"/>
        </w:rPr>
        <w:t xml:space="preserve">2008 </w:t>
      </w:r>
      <w:r>
        <w:rPr>
          <w:rFonts w:hint="eastAsia" w:ascii="楷体" w:hAnsi="Cambria Math" w:eastAsia="楷体" w:cs="仿宋"/>
          <w:b w:val="0"/>
          <w:bCs w:val="0"/>
          <w:color w:val="auto"/>
          <w:szCs w:val="21"/>
          <w:lang w:val="en-US" w:eastAsia="zh-CN" w:bidi="ar-SA"/>
        </w:rPr>
        <w:t>年为铁路建设期， 2008～2015 年为铁路营运期。</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根据材料自拟一个结论，并用表 </w:t>
      </w:r>
      <w:r>
        <w:rPr>
          <w:rFonts w:hint="default" w:ascii="宋体" w:hAnsi="Cambria Math" w:eastAsia="宋体" w:cs="宋体"/>
          <w:b w:val="0"/>
          <w:bCs w:val="0"/>
          <w:color w:val="auto"/>
          <w:szCs w:val="21"/>
          <w:lang w:val="en-US" w:eastAsia="zh-CN" w:bidi="ar-SA"/>
        </w:rPr>
        <w:t xml:space="preserve">3 </w:t>
      </w:r>
      <w:r>
        <w:rPr>
          <w:rFonts w:hint="eastAsia" w:ascii="宋体" w:hAnsi="Cambria Math" w:eastAsia="宋体" w:cs="宋体"/>
          <w:b w:val="0"/>
          <w:bCs w:val="0"/>
          <w:color w:val="auto"/>
          <w:szCs w:val="21"/>
          <w:lang w:val="en-US" w:eastAsia="zh-CN" w:bidi="ar-SA"/>
        </w:rPr>
        <w:t xml:space="preserve">数据予以论证。（要求：可就建设期或营运期，也可以综合得出结论；论证充 分、数据准确、表达清晰。） </w:t>
      </w:r>
    </w:p>
    <w:p>
      <w:pPr>
        <w:keepNext w:val="0"/>
        <w:keepLines w:val="0"/>
        <w:widowControl/>
        <w:suppressLineNumbers w:val="0"/>
        <w:jc w:val="left"/>
        <w:rPr>
          <w:rFonts w:hint="default" w:ascii="Times New Roman" w:hAnsi="Times New Roman" w:eastAsia="宋体" w:cs="Times New Roman"/>
          <w:b w:val="0"/>
          <w:bCs w:val="0"/>
          <w:color w:val="000000"/>
          <w:kern w:val="0"/>
          <w:sz w:val="20"/>
          <w:szCs w:val="20"/>
          <w:lang w:val="en-US" w:eastAsia="zh-CN" w:bidi="ar"/>
        </w:rPr>
      </w:pPr>
    </w:p>
    <w:p>
      <w:pPr>
        <w:widowControl/>
        <w:numPr>
          <w:ilvl w:val="0"/>
          <w:numId w:val="0"/>
        </w:numPr>
        <w:ind w:leftChars="0"/>
        <w:jc w:val="left"/>
        <w:textAlignment w:val="center"/>
        <w:rPr>
          <w:rFonts w:hint="default"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default"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default"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default"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default" w:ascii="宋体" w:hAnsi="Cambria Math" w:eastAsia="宋体" w:cs="宋体"/>
          <w:b w:val="0"/>
          <w:bCs w:val="0"/>
          <w:color w:val="auto"/>
          <w:szCs w:val="21"/>
          <w:lang w:val="en-US" w:eastAsia="zh-CN" w:bidi="ar-SA"/>
        </w:rPr>
        <w:t>2</w:t>
      </w:r>
      <w:r>
        <w:rPr>
          <w:rFonts w:hint="eastAsia" w:ascii="宋体" w:hAnsi="Cambria Math" w:eastAsia="宋体" w:cs="宋体"/>
          <w:b w:val="0"/>
          <w:bCs w:val="0"/>
          <w:color w:val="auto"/>
          <w:szCs w:val="21"/>
          <w:lang w:val="en-US" w:eastAsia="zh-CN" w:bidi="ar-SA"/>
        </w:rPr>
        <w:t>8</w:t>
      </w:r>
      <w:r>
        <w:rPr>
          <w:rFonts w:hint="default" w:ascii="宋体" w:hAnsi="Cambria Math" w:eastAsia="宋体" w:cs="宋体"/>
          <w:b w:val="0"/>
          <w:bCs w:val="0"/>
          <w:color w:val="auto"/>
          <w:szCs w:val="21"/>
          <w:lang w:val="en-US" w:eastAsia="zh-CN" w:bidi="ar-SA"/>
        </w:rPr>
        <w:t xml:space="preserve">. </w:t>
      </w:r>
      <w:r>
        <w:rPr>
          <w:rFonts w:hint="eastAsia" w:ascii="宋体" w:hAnsi="Cambria Math" w:eastAsia="宋体" w:cs="宋体"/>
          <w:b w:val="0"/>
          <w:bCs w:val="0"/>
          <w:color w:val="auto"/>
          <w:szCs w:val="21"/>
          <w:lang w:val="en-US" w:eastAsia="zh-CN" w:bidi="ar-SA"/>
        </w:rPr>
        <w:t xml:space="preserve">阅读材料，完成下列问题。 </w:t>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rFonts w:hint="eastAsia" w:ascii="楷体" w:hAnsi="Cambria Math" w:eastAsia="楷体" w:cs="仿宋"/>
          <w:b w:val="0"/>
          <w:bCs w:val="0"/>
          <w:color w:val="auto"/>
          <w:szCs w:val="21"/>
          <w:lang w:val="en-US" w:eastAsia="zh-CN" w:bidi="ar-SA"/>
        </w:rPr>
        <w:t>材料一珠江由磨刀门、虎门等八门入海﹐其中磨刀门是泄洪排沙的主通道，年径流量和输沙量分别占珠江的 28%和 33%。下图为珠江三角洲所在区域略图。</w:t>
      </w:r>
    </w:p>
    <w:p>
      <w:pPr>
        <w:keepNext w:val="0"/>
        <w:keepLines w:val="0"/>
        <w:widowControl/>
        <w:suppressLineNumbers w:val="0"/>
        <w:jc w:val="center"/>
        <w:rPr>
          <w:rFonts w:hint="eastAsia" w:ascii="楷体" w:hAnsi="楷体" w:eastAsia="楷体" w:cs="楷体"/>
          <w:b w:val="0"/>
          <w:bCs w:val="0"/>
          <w:color w:val="000000"/>
          <w:kern w:val="0"/>
          <w:sz w:val="22"/>
          <w:szCs w:val="22"/>
          <w:lang w:val="en-US" w:eastAsia="zh-CN" w:bidi="ar"/>
        </w:rPr>
      </w:pPr>
      <w:r>
        <w:rPr>
          <w:b w:val="0"/>
          <w:bCs w:val="0"/>
        </w:rPr>
        <w:drawing>
          <wp:inline distT="0" distB="0" distL="114300" distR="114300">
            <wp:extent cx="3973195" cy="2112645"/>
            <wp:effectExtent l="0" t="0" r="8255"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rcRect l="22717" t="28254" r="20960" b="18496"/>
                    <a:stretch>
                      <a:fillRect/>
                    </a:stretch>
                  </pic:blipFill>
                  <pic:spPr>
                    <a:xfrm>
                      <a:off x="0" y="0"/>
                      <a:ext cx="3973195" cy="2112645"/>
                    </a:xfrm>
                    <a:prstGeom prst="rect">
                      <a:avLst/>
                    </a:prstGeom>
                    <a:noFill/>
                    <a:ln>
                      <a:noFill/>
                    </a:ln>
                  </pic:spPr>
                </pic:pic>
              </a:graphicData>
            </a:graphic>
          </wp:inline>
        </w:drawing>
      </w:r>
    </w:p>
    <w:p>
      <w:pPr>
        <w:widowControl/>
        <w:bidi w:val="0"/>
        <w:ind w:firstLine="420" w:firstLineChars="200"/>
        <w:jc w:val="left"/>
        <w:rPr>
          <w:rFonts w:hint="eastAsia" w:ascii="楷体" w:hAnsi="Cambria Math" w:eastAsia="楷体" w:cs="仿宋"/>
          <w:b w:val="0"/>
          <w:bCs w:val="0"/>
          <w:color w:val="auto"/>
          <w:szCs w:val="21"/>
          <w:lang w:val="en-US" w:eastAsia="zh-CN" w:bidi="ar-SA"/>
        </w:rPr>
      </w:pPr>
      <w:r>
        <w:rPr>
          <w:b w:val="0"/>
          <w:bCs w:val="0"/>
        </w:rPr>
        <w:drawing>
          <wp:anchor distT="0" distB="0" distL="114300" distR="114300" simplePos="0" relativeHeight="251664384" behindDoc="0" locked="0" layoutInCell="1" allowOverlap="1">
            <wp:simplePos x="0" y="0"/>
            <wp:positionH relativeFrom="column">
              <wp:posOffset>918210</wp:posOffset>
            </wp:positionH>
            <wp:positionV relativeFrom="paragraph">
              <wp:posOffset>422910</wp:posOffset>
            </wp:positionV>
            <wp:extent cx="4001135" cy="2278380"/>
            <wp:effectExtent l="0" t="0" r="18415" b="7620"/>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2">
                      <a:lum bright="-18000" contrast="30000"/>
                    </a:blip>
                    <a:srcRect l="21082" t="18712" r="18929" b="8895"/>
                    <a:stretch>
                      <a:fillRect/>
                    </a:stretch>
                  </pic:blipFill>
                  <pic:spPr>
                    <a:xfrm>
                      <a:off x="0" y="0"/>
                      <a:ext cx="4001135" cy="2278380"/>
                    </a:xfrm>
                    <a:prstGeom prst="rect">
                      <a:avLst/>
                    </a:prstGeom>
                    <a:noFill/>
                    <a:ln>
                      <a:noFill/>
                    </a:ln>
                  </pic:spPr>
                </pic:pic>
              </a:graphicData>
            </a:graphic>
          </wp:anchor>
        </w:drawing>
      </w:r>
      <w:r>
        <w:rPr>
          <w:rFonts w:hint="eastAsia" w:ascii="楷体" w:hAnsi="Cambria Math" w:eastAsia="楷体" w:cs="仿宋"/>
          <w:b w:val="0"/>
          <w:bCs w:val="0"/>
          <w:color w:val="auto"/>
          <w:szCs w:val="21"/>
          <w:lang w:val="en-US" w:eastAsia="zh-CN" w:bidi="ar-SA"/>
        </w:rPr>
        <w:t>材料二 岸线、土地等自然资源是港口建设的基础性资源，港口与城市发展相互依赖，港口的发展加快了关联产业的集聚。下表为珠江口部分城市岸线资源、2019年单位岸线货运量和地区生产总值表。</w:t>
      </w:r>
    </w:p>
    <w:p>
      <w:pPr>
        <w:adjustRightInd w:val="0"/>
        <w:snapToGrid w:val="0"/>
        <w:spacing w:line="360" w:lineRule="auto"/>
        <w:jc w:val="center"/>
        <w:rPr>
          <w:b w:val="0"/>
          <w:bCs w:val="0"/>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（1）说明珠江口东岸、大鹏湾和大亚湾易形成深水港的自然条件。 </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r>
        <w:rPr>
          <w:rFonts w:hint="eastAsia" w:ascii="宋体" w:hAnsi="Cambria Math" w:eastAsia="宋体" w:cs="宋体"/>
          <w:b w:val="0"/>
          <w:bCs w:val="0"/>
          <w:color w:val="auto"/>
          <w:szCs w:val="21"/>
          <w:lang w:val="en-US" w:eastAsia="zh-CN" w:bidi="ar-SA"/>
        </w:rPr>
        <w:t xml:space="preserve">（2）简述珠江口东岸地区港口单位岸线货运量较大的社会经济原因。 </w:t>
      </w: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宋体" w:hAnsi="Cambria Math" w:eastAsia="宋体" w:cs="宋体"/>
          <w:b w:val="0"/>
          <w:bCs w:val="0"/>
          <w:color w:val="auto"/>
          <w:szCs w:val="21"/>
          <w:lang w:val="en-US" w:eastAsia="zh-CN" w:bidi="ar-SA"/>
        </w:rPr>
      </w:pPr>
    </w:p>
    <w:p>
      <w:pPr>
        <w:widowControl/>
        <w:numPr>
          <w:ilvl w:val="0"/>
          <w:numId w:val="0"/>
        </w:numPr>
        <w:ind w:leftChars="0"/>
        <w:jc w:val="left"/>
        <w:textAlignment w:val="center"/>
        <w:rPr>
          <w:rFonts w:hint="eastAsia" w:ascii="新宋体" w:hAnsi="新宋体" w:eastAsia="新宋体" w:cs="新宋体"/>
          <w:b w:val="0"/>
          <w:bCs w:val="0"/>
          <w:szCs w:val="21"/>
        </w:rPr>
        <w:sectPr>
          <w:headerReference r:id="rId3" w:type="first"/>
          <w:footerReference r:id="rId4" w:type="even"/>
          <w:pgSz w:w="11906" w:h="16838"/>
          <w:pgMar w:top="1417" w:right="1417" w:bottom="1417" w:left="1417" w:header="850" w:footer="992" w:gutter="0"/>
          <w:cols w:space="425" w:num="1"/>
          <w:docGrid w:type="lines" w:linePitch="312" w:charSpace="0"/>
        </w:sectPr>
      </w:pPr>
      <w:r>
        <w:rPr>
          <w:rFonts w:hint="eastAsia" w:ascii="宋体" w:hAnsi="Cambria Math" w:eastAsia="宋体" w:cs="宋体"/>
          <w:b w:val="0"/>
          <w:bCs w:val="0"/>
          <w:color w:val="auto"/>
          <w:szCs w:val="21"/>
          <w:lang w:val="en-US" w:eastAsia="zh-CN" w:bidi="ar-SA"/>
        </w:rPr>
        <w:t>（3）从港口建设基础性资源角度，简析珠江口西岸经济发展潜力较大的原因。</w:t>
      </w:r>
    </w:p>
    <w:p>
      <w:pPr>
        <w:widowControl/>
        <w:spacing w:after="50" w:line="210" w:lineRule="atLeast"/>
        <w:jc w:val="left"/>
        <w:textAlignment w:val="center"/>
        <w:rPr>
          <w:rFonts w:hint="eastAsia"/>
          <w:lang w:val="en-US" w:eastAsia="zh-CN"/>
        </w:rPr>
      </w:pPr>
      <w:r>
        <w:rPr>
          <w:rFonts w:hint="eastAsia"/>
          <w:lang w:val="en-US" w:eastAsia="zh-CN"/>
        </w:rPr>
        <w:t>1-5  BADDA     6-10    DBCBC   11-15   DDBDD    16-20   BACBC</w:t>
      </w:r>
    </w:p>
    <w:p>
      <w:pPr>
        <w:widowControl/>
        <w:spacing w:after="50" w:line="210" w:lineRule="atLeast"/>
        <w:jc w:val="left"/>
        <w:textAlignment w:val="center"/>
        <w:rPr>
          <w:rFonts w:hint="eastAsia"/>
          <w:lang w:val="en-US" w:eastAsia="zh-CN"/>
        </w:rPr>
      </w:pPr>
      <w:r>
        <w:rPr>
          <w:rFonts w:hint="eastAsia"/>
          <w:lang w:val="en-US" w:eastAsia="zh-CN"/>
        </w:rPr>
        <w:t>21.（1）带动建材等相关产业发展；提高机场旅客接纳能力，促进旅游业发展；增加就业。</w:t>
      </w:r>
    </w:p>
    <w:p>
      <w:pPr>
        <w:widowControl/>
        <w:spacing w:after="50" w:line="210" w:lineRule="atLeast"/>
        <w:jc w:val="left"/>
        <w:textAlignment w:val="center"/>
        <w:rPr>
          <w:rFonts w:hint="eastAsia"/>
          <w:lang w:val="en-US" w:eastAsia="zh-CN"/>
        </w:rPr>
      </w:pPr>
      <w:r>
        <w:rPr>
          <w:rFonts w:hint="eastAsia"/>
          <w:lang w:val="en-US" w:eastAsia="zh-CN"/>
        </w:rPr>
        <w:t>（2）就地取材，节约成本；珊瑚砂渗透性能良好，利于雨水的吸纳、蓄渗，减少机场积水，保证飞机安全起降；利用海底珊瑚砂填海造陆，不破坏原有陆地。</w:t>
      </w:r>
    </w:p>
    <w:p>
      <w:pPr>
        <w:widowControl/>
        <w:spacing w:after="50" w:line="210" w:lineRule="atLeast"/>
        <w:jc w:val="left"/>
        <w:textAlignment w:val="center"/>
        <w:rPr>
          <w:rFonts w:hint="eastAsia"/>
          <w:lang w:val="en-US" w:eastAsia="zh-CN"/>
        </w:rPr>
      </w:pPr>
      <w:r>
        <w:rPr>
          <w:rFonts w:hint="eastAsia"/>
          <w:lang w:val="en-US" w:eastAsia="zh-CN"/>
        </w:rPr>
        <w:t>（3）提高施工效率；保证工程质量；提高管理水平。</w:t>
      </w:r>
    </w:p>
    <w:p>
      <w:pPr>
        <w:widowControl/>
        <w:spacing w:after="50" w:line="210" w:lineRule="atLeast"/>
        <w:jc w:val="left"/>
        <w:textAlignment w:val="center"/>
        <w:rPr>
          <w:rFonts w:hint="eastAsia"/>
          <w:lang w:val="en-US" w:eastAsia="zh-CN"/>
        </w:rPr>
      </w:pPr>
      <w:r>
        <w:rPr>
          <w:rFonts w:hint="eastAsia"/>
          <w:lang w:val="en-US" w:eastAsia="zh-CN"/>
        </w:rPr>
        <w:t>（4）雨季长，阴雨天气多，施工难度大；海水对建材的腐蚀性强；岛屿面积小，自然资源匮乏，淡水不足，建材缺乏。</w:t>
      </w:r>
    </w:p>
    <w:p>
      <w:pPr>
        <w:widowControl/>
        <w:spacing w:after="50" w:line="210" w:lineRule="atLeast"/>
        <w:jc w:val="left"/>
        <w:textAlignment w:val="center"/>
        <w:rPr>
          <w:rFonts w:hint="eastAsia"/>
          <w:lang w:val="en-US" w:eastAsia="zh-CN"/>
        </w:rPr>
      </w:pPr>
      <w:r>
        <w:rPr>
          <w:rFonts w:hint="eastAsia"/>
          <w:lang w:val="en-US" w:eastAsia="zh-CN"/>
        </w:rPr>
        <w:t>22.两条铁路的开通，改善了旅游投资与营商环境，吸引更多投资者来兴国县开发红色旅游资源，改善了旅游交通条 件，使于游客进出，扩大红色旅游客源市场，吸引更多游客前来观光、休闲和度假、增加就业岗位，提高财政收 入，促进旅游业及其相关产业的发展，从而有力促进经济发展</w:t>
      </w:r>
    </w:p>
    <w:p>
      <w:pPr>
        <w:widowControl/>
        <w:spacing w:after="50" w:line="210" w:lineRule="atLeast"/>
        <w:jc w:val="left"/>
        <w:textAlignment w:val="center"/>
        <w:rPr>
          <w:rFonts w:hint="eastAsia"/>
          <w:lang w:val="en-US" w:eastAsia="zh-CN"/>
        </w:rPr>
      </w:pPr>
      <w:r>
        <w:rPr>
          <w:rFonts w:hint="eastAsia"/>
          <w:lang w:val="en-US" w:eastAsia="zh-CN"/>
        </w:rPr>
        <w:t>23.（1）岛内人口少，经济落后，货运量不足；岛屿面积狭小、地形崎岖，发展空间小。岛陆联系不便，经济腹地小。</w:t>
      </w:r>
    </w:p>
    <w:p>
      <w:pPr>
        <w:widowControl/>
        <w:spacing w:after="50" w:line="210" w:lineRule="atLeast"/>
        <w:jc w:val="left"/>
        <w:textAlignment w:val="center"/>
        <w:rPr>
          <w:rFonts w:hint="eastAsia"/>
          <w:lang w:val="en-US" w:eastAsia="zh-CN"/>
        </w:rPr>
      </w:pPr>
      <w:r>
        <w:rPr>
          <w:rFonts w:hint="eastAsia"/>
          <w:lang w:val="en-US" w:eastAsia="zh-CN"/>
        </w:rPr>
        <w:t>（2）位于我国东南海域，受季风与台风影响，海面风浪大；桥区位于河流入海口附近，海峡之间，海流复杂；墩身移动式平台比船舶平台更具稳定性。</w:t>
      </w:r>
    </w:p>
    <w:p>
      <w:pPr>
        <w:widowControl/>
        <w:spacing w:after="50" w:line="210" w:lineRule="atLeast"/>
        <w:jc w:val="left"/>
        <w:textAlignment w:val="center"/>
        <w:rPr>
          <w:rFonts w:hint="eastAsia"/>
          <w:lang w:val="en-US" w:eastAsia="zh-CN"/>
        </w:rPr>
      </w:pPr>
      <w:r>
        <w:rPr>
          <w:rFonts w:hint="eastAsia"/>
          <w:lang w:val="en-US" w:eastAsia="zh-CN"/>
        </w:rPr>
        <w:t>（3）改善陆岛联系，有利于发挥南澳优良港湾优势，沟通陆运与水运网，提升南澳交通运输枢纽地位；改善运输条件，缩短运输时间，有利于南澳资源开发利用；吸引游客，带动旅游业等产业发展，促进经济发展，改善基础设施。</w:t>
      </w:r>
    </w:p>
    <w:p>
      <w:pPr>
        <w:widowControl/>
        <w:spacing w:after="50" w:line="210" w:lineRule="atLeast"/>
        <w:jc w:val="left"/>
        <w:textAlignment w:val="center"/>
        <w:rPr>
          <w:rFonts w:hint="default"/>
          <w:lang w:val="en-US" w:eastAsia="zh-CN"/>
        </w:rPr>
      </w:pPr>
      <w:r>
        <w:rPr>
          <w:rFonts w:hint="eastAsia"/>
          <w:lang w:val="en-US" w:eastAsia="zh-CN"/>
        </w:rPr>
        <w:t>（4）距离短，修建成本不会过高；受到海面风浪的影响小；减少对海面养殖的影响；减少对渔船往来的影响；创造新的观光项目。</w:t>
      </w:r>
    </w:p>
    <w:p>
      <w:pPr>
        <w:widowControl/>
        <w:spacing w:after="50" w:line="210" w:lineRule="atLeast"/>
        <w:jc w:val="left"/>
        <w:textAlignment w:val="center"/>
        <w:rPr>
          <w:rFonts w:hint="eastAsia"/>
          <w:lang w:val="en-US" w:eastAsia="zh-CN"/>
        </w:rPr>
      </w:pPr>
      <w:r>
        <w:rPr>
          <w:rFonts w:hint="eastAsia"/>
          <w:lang w:val="en-US" w:eastAsia="zh-CN"/>
        </w:rPr>
        <w:t>24.（1）严寒、极夜、暴风、冰雪、荒原、复杂的路况、北极熊（任答3点得6分）</w:t>
      </w:r>
    </w:p>
    <w:p>
      <w:pPr>
        <w:widowControl/>
        <w:spacing w:after="50" w:line="210" w:lineRule="atLeast"/>
        <w:jc w:val="left"/>
        <w:textAlignment w:val="center"/>
        <w:rPr>
          <w:rFonts w:hint="eastAsia"/>
          <w:lang w:val="en-US" w:eastAsia="zh-CN"/>
        </w:rPr>
      </w:pPr>
      <w:r>
        <w:rPr>
          <w:rFonts w:hint="eastAsia"/>
          <w:lang w:val="en-US" w:eastAsia="zh-CN"/>
        </w:rPr>
        <w:t>（2）砾石能够为车辆提供更大摩擦力；（2分）砾石道路与铺筑过的路面相比，不容易结冰。（2分）</w:t>
      </w:r>
    </w:p>
    <w:p>
      <w:pPr>
        <w:widowControl/>
        <w:spacing w:after="50" w:line="210" w:lineRule="atLeast"/>
        <w:jc w:val="left"/>
        <w:textAlignment w:val="center"/>
        <w:rPr>
          <w:rFonts w:hint="eastAsia"/>
          <w:lang w:val="en-US" w:eastAsia="zh-CN"/>
        </w:rPr>
      </w:pPr>
      <w:r>
        <w:rPr>
          <w:rFonts w:hint="eastAsia"/>
          <w:lang w:val="en-US" w:eastAsia="zh-CN"/>
        </w:rPr>
        <w:t xml:space="preserve">（3）给石油工人运输补给；（2分）对沿线管道进行维护；（2分）科学考察；（2分）旅游观光摄影。（2分） </w:t>
      </w:r>
    </w:p>
    <w:p>
      <w:pPr>
        <w:widowControl/>
        <w:spacing w:after="50" w:line="210" w:lineRule="atLeast"/>
        <w:jc w:val="left"/>
        <w:textAlignment w:val="center"/>
        <w:rPr>
          <w:rFonts w:hint="eastAsia"/>
          <w:lang w:val="en-US" w:eastAsia="zh-CN"/>
        </w:rPr>
      </w:pPr>
      <w:r>
        <w:rPr>
          <w:rFonts w:hint="eastAsia"/>
          <w:lang w:val="en-US" w:eastAsia="zh-CN"/>
        </w:rPr>
        <w:t>25.（1）水域面积扩大，水深增加，通航里程增加，通航能力增强（航道条件改善）；港口规模扩大，数量增加，港口腹地扩大。</w:t>
      </w:r>
    </w:p>
    <w:p>
      <w:pPr>
        <w:widowControl/>
        <w:spacing w:after="50" w:line="210" w:lineRule="atLeast"/>
        <w:jc w:val="left"/>
        <w:textAlignment w:val="center"/>
        <w:rPr>
          <w:rFonts w:hint="eastAsia"/>
          <w:lang w:val="en-US" w:eastAsia="zh-CN"/>
        </w:rPr>
      </w:pPr>
      <w:r>
        <w:rPr>
          <w:rFonts w:hint="eastAsia"/>
          <w:lang w:val="en-US" w:eastAsia="zh-CN"/>
        </w:rPr>
        <w:t>（2）通过与公路、铁路、管道的连接，实现了多种交通运输方式的联运，运输方式灵活；缩短物流时间，提高运输效率；通过秭归翻坝物流产业园，实现对货物仓储、加工  和贸易，延长物流产业链。</w:t>
      </w:r>
    </w:p>
    <w:p>
      <w:pPr>
        <w:widowControl/>
        <w:spacing w:after="50" w:line="210" w:lineRule="atLeast"/>
        <w:jc w:val="left"/>
        <w:textAlignment w:val="center"/>
        <w:rPr>
          <w:rFonts w:hint="eastAsia"/>
          <w:lang w:val="en-US" w:eastAsia="zh-CN"/>
        </w:rPr>
      </w:pPr>
      <w:r>
        <w:rPr>
          <w:rFonts w:hint="eastAsia"/>
          <w:lang w:val="en-US" w:eastAsia="zh-CN"/>
        </w:rPr>
        <w:t>26.（1）北冰洋沿岸纬度高，气温低，冰封期长，不利于海运；南部的太平洋沿岸纬度较低，且受阿拉斯加暖流影响，水温较高，有不冻港适合海运。(4分)</w:t>
      </w:r>
    </w:p>
    <w:p>
      <w:pPr>
        <w:widowControl/>
        <w:spacing w:after="50" w:line="210" w:lineRule="atLeast"/>
        <w:jc w:val="left"/>
        <w:textAlignment w:val="center"/>
        <w:rPr>
          <w:rFonts w:hint="eastAsia"/>
          <w:lang w:val="en-US" w:eastAsia="zh-CN"/>
        </w:rPr>
      </w:pPr>
      <w:r>
        <w:rPr>
          <w:rFonts w:hint="eastAsia"/>
          <w:lang w:val="en-US" w:eastAsia="zh-CN"/>
        </w:rPr>
        <w:t>（2）阿拉斯加地处环太平洋地震带，地震多发，且冻土广布；架空铺设可减少因地震及冻融作用造成的输油管沉降及损坏；同时为野生动物迁徙留出通道等。(6分)</w:t>
      </w:r>
    </w:p>
    <w:p>
      <w:pPr>
        <w:widowControl/>
        <w:spacing w:after="50" w:line="210" w:lineRule="atLeast"/>
        <w:jc w:val="left"/>
        <w:textAlignment w:val="center"/>
        <w:rPr>
          <w:rFonts w:hint="eastAsia"/>
          <w:lang w:val="en-US" w:eastAsia="zh-CN"/>
        </w:rPr>
      </w:pPr>
      <w:r>
        <w:rPr>
          <w:rFonts w:hint="eastAsia"/>
          <w:lang w:val="en-US" w:eastAsia="zh-CN"/>
        </w:rPr>
        <w:t>（3）运输原油比成品油更安全方便；美国本土经济发达，市场广阔；并且工业基础好，技术更先进等。(6分)</w:t>
      </w:r>
    </w:p>
    <w:p>
      <w:pPr>
        <w:widowControl/>
        <w:spacing w:after="50" w:line="210" w:lineRule="atLeast"/>
        <w:jc w:val="left"/>
        <w:textAlignment w:val="center"/>
        <w:rPr>
          <w:rFonts w:hint="default"/>
          <w:lang w:val="en-US" w:eastAsia="zh-CN"/>
        </w:rPr>
      </w:pPr>
      <w:r>
        <w:rPr>
          <w:rFonts w:hint="eastAsia"/>
          <w:lang w:val="en-US" w:eastAsia="zh-CN"/>
        </w:rPr>
        <w:t>（4）阿拉斯加向中国出口海鲜、木材等，理由是阿拉斯加附近海域广阔，渔业资源丰富，并且针叶林广布，而中国人口众多，制造业发达，对水产品、林产品的需求大，市场广阔；阿拉斯加向中国进口粮食、蔬菜、水果等，理由是阿拉斯加纬度高，气温低，且山地多，种植业不利，而中国地域广阔，农业发达，农产品丰富。(4分)</w:t>
      </w:r>
    </w:p>
    <w:p>
      <w:pPr>
        <w:widowControl/>
        <w:spacing w:after="50" w:line="210" w:lineRule="atLeast"/>
        <w:jc w:val="left"/>
        <w:textAlignment w:val="center"/>
        <w:rPr>
          <w:rFonts w:hint="eastAsia"/>
          <w:lang w:val="en-US" w:eastAsia="zh-CN"/>
        </w:rPr>
      </w:pPr>
      <w:r>
        <w:rPr>
          <w:rFonts w:hint="eastAsia"/>
          <w:lang w:val="en-US" w:eastAsia="zh-CN"/>
        </w:rPr>
        <w:t xml:space="preserve">27.结论：青藏铁路的建设期及营运期，通过工程措施有效地实现了风沙治理。 </w:t>
      </w:r>
    </w:p>
    <w:p>
      <w:pPr>
        <w:widowControl/>
        <w:spacing w:after="50" w:line="210" w:lineRule="atLeast"/>
        <w:jc w:val="left"/>
        <w:textAlignment w:val="center"/>
        <w:rPr>
          <w:rFonts w:hint="default"/>
          <w:lang w:val="en-US" w:eastAsia="zh-CN"/>
        </w:rPr>
      </w:pPr>
      <w:r>
        <w:rPr>
          <w:rFonts w:hint="eastAsia"/>
          <w:lang w:val="en-US" w:eastAsia="zh-CN"/>
        </w:rPr>
        <w:t>论证：建设期，铁路两侧各范围内固定、半固定沙地增加，半流动、流动沙地减少，说明通过工程措施使得沙 丘趋于固定，风沙危害减轻。营运期，铁路两侧固定沙地继续增长，半流动沙地显著减少，说明营运并未破坏 风沙输移环境，工程措施持久有效地发挥了固沙效益</w:t>
      </w:r>
    </w:p>
    <w:p>
      <w:pPr>
        <w:widowControl/>
        <w:spacing w:after="50" w:line="210" w:lineRule="atLeast"/>
        <w:jc w:val="left"/>
        <w:textAlignment w:val="center"/>
        <w:rPr>
          <w:rFonts w:hint="eastAsia"/>
          <w:lang w:val="en-US" w:eastAsia="zh-CN"/>
        </w:rPr>
      </w:pPr>
      <w:r>
        <w:rPr>
          <w:rFonts w:hint="eastAsia"/>
          <w:lang w:val="en-US" w:eastAsia="zh-CN"/>
        </w:rPr>
        <w:t xml:space="preserve">28.（1）港湾多，波浪小，潮流作用强；泥沙主要由西岸入海，对东岸影响小；基岩海岸，水下地形稳定。 </w:t>
      </w:r>
    </w:p>
    <w:p>
      <w:pPr>
        <w:widowControl/>
        <w:spacing w:after="50" w:line="210" w:lineRule="atLeast"/>
        <w:jc w:val="left"/>
        <w:textAlignment w:val="center"/>
        <w:rPr>
          <w:rFonts w:hint="eastAsia"/>
          <w:lang w:val="en-US" w:eastAsia="zh-CN"/>
        </w:rPr>
      </w:pPr>
      <w:r>
        <w:rPr>
          <w:rFonts w:hint="eastAsia"/>
          <w:lang w:val="en-US" w:eastAsia="zh-CN"/>
        </w:rPr>
        <w:t xml:space="preserve">（2）经济发达，单位岸线承载的地区生产总值大；毗邻香港；陆上交通集散能力强。 </w:t>
      </w:r>
    </w:p>
    <w:p>
      <w:pPr>
        <w:widowControl/>
        <w:spacing w:after="50" w:line="210" w:lineRule="atLeast"/>
        <w:jc w:val="left"/>
        <w:textAlignment w:val="center"/>
        <w:rPr>
          <w:rFonts w:hint="eastAsia"/>
          <w:lang w:val="en-US" w:eastAsia="zh-CN"/>
        </w:rPr>
      </w:pPr>
      <w:r>
        <w:rPr>
          <w:rFonts w:hint="eastAsia"/>
          <w:lang w:val="en-US" w:eastAsia="zh-CN"/>
        </w:rPr>
        <w:t>（3）未开发和可供开发的岸线资源较多，开发潜力大；土地资源相对丰富；港口建设促进区域经济发展。</w:t>
      </w:r>
    </w:p>
    <w:p>
      <w:pPr>
        <w:rPr>
          <w:b w:val="0"/>
          <w:bCs w:val="0"/>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0" locked="0" layoutInCell="1" allowOverlap="1">
          <wp:simplePos x="0" y="0"/>
          <wp:positionH relativeFrom="page">
            <wp:posOffset>127000</wp:posOffset>
          </wp:positionH>
          <wp:positionV relativeFrom="page">
            <wp:posOffset>12700000</wp:posOffset>
          </wp:positionV>
          <wp:extent cx="304800" cy="215900"/>
          <wp:effectExtent l="0" t="0" r="0" b="1270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304800" cy="2159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A88F72"/>
    <w:multiLevelType w:val="singleLevel"/>
    <w:tmpl w:val="B0A88F72"/>
    <w:lvl w:ilvl="0" w:tentative="0">
      <w:start w:val="1"/>
      <w:numFmt w:val="decimal"/>
      <w:suff w:val="nothing"/>
      <w:lvlText w:val="（%1）"/>
      <w:lvlJc w:val="left"/>
    </w:lvl>
  </w:abstractNum>
  <w:abstractNum w:abstractNumId="1">
    <w:nsid w:val="B6B3D50B"/>
    <w:multiLevelType w:val="singleLevel"/>
    <w:tmpl w:val="B6B3D50B"/>
    <w:lvl w:ilvl="0" w:tentative="0">
      <w:start w:val="1"/>
      <w:numFmt w:val="upperLetter"/>
      <w:suff w:val="space"/>
      <w:lvlText w:val="%1."/>
      <w:lvlJc w:val="left"/>
    </w:lvl>
  </w:abstractNum>
  <w:abstractNum w:abstractNumId="2">
    <w:nsid w:val="C9A9DF0A"/>
    <w:multiLevelType w:val="singleLevel"/>
    <w:tmpl w:val="C9A9DF0A"/>
    <w:lvl w:ilvl="0" w:tentative="0">
      <w:start w:val="1"/>
      <w:numFmt w:val="decimal"/>
      <w:suff w:val="nothing"/>
      <w:lvlText w:val="（%1）"/>
      <w:lvlJc w:val="left"/>
    </w:lvl>
  </w:abstractNum>
  <w:abstractNum w:abstractNumId="3">
    <w:nsid w:val="FBD5224E"/>
    <w:multiLevelType w:val="singleLevel"/>
    <w:tmpl w:val="FBD5224E"/>
    <w:lvl w:ilvl="0" w:tentative="0">
      <w:start w:val="1"/>
      <w:numFmt w:val="upperLetter"/>
      <w:suff w:val="space"/>
      <w:lvlText w:val="%1."/>
      <w:lvlJc w:val="left"/>
    </w:lvl>
  </w:abstractNum>
  <w:abstractNum w:abstractNumId="4">
    <w:nsid w:val="13D57B96"/>
    <w:multiLevelType w:val="singleLevel"/>
    <w:tmpl w:val="13D57B96"/>
    <w:lvl w:ilvl="0" w:tentative="0">
      <w:start w:val="1"/>
      <w:numFmt w:val="upperLetter"/>
      <w:suff w:val="space"/>
      <w:lvlText w:val="%1."/>
      <w:lvlJc w:val="left"/>
    </w:lvl>
  </w:abstractNum>
  <w:abstractNum w:abstractNumId="5">
    <w:nsid w:val="23008EA6"/>
    <w:multiLevelType w:val="singleLevel"/>
    <w:tmpl w:val="23008EA6"/>
    <w:lvl w:ilvl="0" w:tentative="0">
      <w:start w:val="1"/>
      <w:numFmt w:val="decimal"/>
      <w:suff w:val="nothing"/>
      <w:lvlText w:val="（%1）"/>
      <w:lvlJc w:val="left"/>
    </w:lvl>
  </w:abstractNum>
  <w:abstractNum w:abstractNumId="6">
    <w:nsid w:val="2D3FEBB4"/>
    <w:multiLevelType w:val="singleLevel"/>
    <w:tmpl w:val="2D3FEBB4"/>
    <w:lvl w:ilvl="0" w:tentative="0">
      <w:start w:val="1"/>
      <w:numFmt w:val="decimal"/>
      <w:suff w:val="nothing"/>
      <w:lvlText w:val="（%1）"/>
      <w:lvlJc w:val="left"/>
    </w:lvl>
  </w:abstractNum>
  <w:abstractNum w:abstractNumId="7">
    <w:nsid w:val="48219129"/>
    <w:multiLevelType w:val="singleLevel"/>
    <w:tmpl w:val="48219129"/>
    <w:lvl w:ilvl="0" w:tentative="0">
      <w:start w:val="1"/>
      <w:numFmt w:val="decimal"/>
      <w:suff w:val="nothing"/>
      <w:lvlText w:val="（%1）"/>
      <w:lvlJc w:val="left"/>
    </w:lvl>
  </w:abstractNum>
  <w:abstractNum w:abstractNumId="8">
    <w:nsid w:val="595FE3D0"/>
    <w:multiLevelType w:val="singleLevel"/>
    <w:tmpl w:val="595FE3D0"/>
    <w:lvl w:ilvl="0" w:tentative="0">
      <w:start w:val="8"/>
      <w:numFmt w:val="decimal"/>
      <w:suff w:val="space"/>
      <w:lvlText w:val="%1."/>
      <w:lvlJc w:val="left"/>
    </w:lvl>
  </w:abstractNum>
  <w:abstractNum w:abstractNumId="9">
    <w:nsid w:val="691C4551"/>
    <w:multiLevelType w:val="singleLevel"/>
    <w:tmpl w:val="691C4551"/>
    <w:lvl w:ilvl="0" w:tentative="0">
      <w:start w:val="1"/>
      <w:numFmt w:val="decimal"/>
      <w:suff w:val="space"/>
      <w:lvlText w:val="%1."/>
      <w:lvlJc w:val="left"/>
    </w:lvl>
  </w:abstractNum>
  <w:num w:numId="1">
    <w:abstractNumId w:val="9"/>
  </w:num>
  <w:num w:numId="2">
    <w:abstractNumId w:val="3"/>
  </w:num>
  <w:num w:numId="3">
    <w:abstractNumId w:val="1"/>
  </w:num>
  <w:num w:numId="4">
    <w:abstractNumId w:val="8"/>
  </w:num>
  <w:num w:numId="5">
    <w:abstractNumId w:val="4"/>
  </w:num>
  <w:num w:numId="6">
    <w:abstractNumId w:val="0"/>
  </w:num>
  <w:num w:numId="7">
    <w:abstractNumId w:val="2"/>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239"/>
    <w:rsid w:val="001564F9"/>
    <w:rsid w:val="001858BF"/>
    <w:rsid w:val="00231BFC"/>
    <w:rsid w:val="002E5A2E"/>
    <w:rsid w:val="00355215"/>
    <w:rsid w:val="004D2659"/>
    <w:rsid w:val="00526AE4"/>
    <w:rsid w:val="007414AC"/>
    <w:rsid w:val="009750BC"/>
    <w:rsid w:val="009869CF"/>
    <w:rsid w:val="00B82F51"/>
    <w:rsid w:val="00D26D9B"/>
    <w:rsid w:val="00D55B9E"/>
    <w:rsid w:val="00DC2239"/>
    <w:rsid w:val="00E34545"/>
    <w:rsid w:val="06687161"/>
    <w:rsid w:val="20EE7C56"/>
    <w:rsid w:val="3BAE1D69"/>
    <w:rsid w:val="4CCC3DE8"/>
    <w:rsid w:val="5AEF451C"/>
    <w:rsid w:val="63404D38"/>
    <w:rsid w:val="77A11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316"/>
    </w:pPr>
    <w:rPr>
      <w:rFonts w:ascii="宋体" w:hAnsi="宋体" w:eastAsia="宋体" w:cs="宋体"/>
      <w:sz w:val="21"/>
      <w:szCs w:val="21"/>
      <w:lang w:val="zh-CN" w:eastAsia="zh-CN" w:bidi="zh-CN"/>
    </w:rPr>
  </w:style>
  <w:style w:type="paragraph" w:styleId="3">
    <w:name w:val="Balloon Text"/>
    <w:basedOn w:val="1"/>
    <w:link w:val="14"/>
    <w:semiHidden/>
    <w:unhideWhenUsed/>
    <w:qFormat/>
    <w:uiPriority w:val="99"/>
    <w:rPr>
      <w:sz w:val="18"/>
      <w:szCs w:val="18"/>
    </w:rPr>
  </w:style>
  <w:style w:type="paragraph" w:styleId="4">
    <w:name w:val="footer"/>
    <w:basedOn w:val="1"/>
    <w:link w:val="13"/>
    <w:semiHidden/>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800080"/>
      <w:u w:val="single"/>
    </w:rPr>
  </w:style>
  <w:style w:type="character" w:styleId="11">
    <w:name w:val="Hyperlink"/>
    <w:basedOn w:val="8"/>
    <w:semiHidden/>
    <w:unhideWhenUsed/>
    <w:qFormat/>
    <w:uiPriority w:val="99"/>
    <w:rPr>
      <w:color w:val="0000FF"/>
      <w:u w:val="single"/>
    </w:rPr>
  </w:style>
  <w:style w:type="character" w:customStyle="1" w:styleId="12">
    <w:name w:val="页眉 Char"/>
    <w:basedOn w:val="8"/>
    <w:link w:val="5"/>
    <w:semiHidden/>
    <w:qFormat/>
    <w:uiPriority w:val="99"/>
    <w:rPr>
      <w:sz w:val="18"/>
      <w:szCs w:val="18"/>
    </w:rPr>
  </w:style>
  <w:style w:type="character" w:customStyle="1" w:styleId="13">
    <w:name w:val="页脚 Char"/>
    <w:basedOn w:val="8"/>
    <w:link w:val="4"/>
    <w:semiHidden/>
    <w:qFormat/>
    <w:uiPriority w:val="99"/>
    <w:rPr>
      <w:sz w:val="18"/>
      <w:szCs w:val="18"/>
    </w:rPr>
  </w:style>
  <w:style w:type="character" w:customStyle="1" w:styleId="14">
    <w:name w:val="批注框文本 Char"/>
    <w:basedOn w:val="8"/>
    <w:link w:val="3"/>
    <w:semiHidden/>
    <w:qFormat/>
    <w:uiPriority w:val="99"/>
    <w:rPr>
      <w:sz w:val="18"/>
      <w:szCs w:val="18"/>
    </w:rPr>
  </w:style>
  <w:style w:type="character" w:customStyle="1" w:styleId="15">
    <w:name w:val="share-title"/>
    <w:basedOn w:val="8"/>
    <w:qFormat/>
    <w:uiPriority w:val="0"/>
  </w:style>
  <w:style w:type="paragraph" w:styleId="16">
    <w:name w:val="List Paragraph"/>
    <w:basedOn w:val="1"/>
    <w:qFormat/>
    <w:uiPriority w:val="1"/>
    <w:pPr>
      <w:ind w:left="316"/>
    </w:pPr>
    <w:rPr>
      <w:rFonts w:ascii="宋体" w:hAnsi="宋体" w:eastAsia="宋体" w:cs="宋体"/>
      <w:lang w:val="zh-CN" w:eastAsia="zh-CN" w:bidi="zh-CN"/>
    </w:rPr>
  </w:style>
  <w:style w:type="character" w:customStyle="1" w:styleId="17">
    <w:name w:val="NormalCharacter"/>
    <w:link w:val="1"/>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1207</Words>
  <Characters>6880</Characters>
  <Lines>57</Lines>
  <Paragraphs>16</Paragraphs>
  <TotalTime>0</TotalTime>
  <ScaleCrop>false</ScaleCrop>
  <LinksUpToDate>false</LinksUpToDate>
  <CharactersWithSpaces>8071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2019-11-20T13:20:00Z</dcterms:created>
  <dc:creator>lenovo</dc:creator>
  <cp:lastModifiedBy>Administrator</cp:lastModifiedBy>
  <dcterms:modified xsi:type="dcterms:W3CDTF">2021-10-21T02:05:12Z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63A29ACED78948C0A9187B82229CB185</vt:lpwstr>
  </property>
</Properties>
</file>