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福建省漳州市2021届高三毕业班第一次教学质量检测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bCs/>
          <w:sz w:val="28"/>
          <w:szCs w:val="28"/>
          <w:lang w:val="en-US" w:eastAsia="zh-CN"/>
        </w:rPr>
        <w:t>化学</w:t>
      </w:r>
      <w:r>
        <w:rPr>
          <w:rFonts w:cs="Times New Roman" w:asciiTheme="majorEastAsia" w:hAnsiTheme="majorEastAsia" w:eastAsiaTheme="majorEastAsia"/>
          <w:b/>
          <w:bCs/>
          <w:sz w:val="28"/>
          <w:szCs w:val="28"/>
        </w:rPr>
        <w:t>答案及评分标准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选择题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本题共1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小题，每小题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分，共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40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分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)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1.C    2.A    3.D    4.B    5. D    6.A    7.B    8.D    9 B    10.C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非选择题(本题共5小题，共60分)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11．(11分)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(1)－196.6 kJ·mol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－1</w:t>
      </w:r>
      <w:r>
        <w:rPr>
          <w:rFonts w:ascii="Times New Roman" w:hAnsi="Times New Roman" w:cs="Times New Roman"/>
          <w:sz w:val="24"/>
          <w:szCs w:val="24"/>
        </w:rPr>
        <w:t>　(1分)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(2)①0.05 mol·L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－1</w:t>
      </w:r>
      <w:r>
        <w:rPr>
          <w:rFonts w:ascii="Times New Roman" w:hAnsi="Times New Roman" w:cs="Times New Roman"/>
          <w:sz w:val="24"/>
          <w:szCs w:val="24"/>
        </w:rPr>
        <w:t>·min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－1</w:t>
      </w:r>
      <w:r>
        <w:rPr>
          <w:rFonts w:ascii="Times New Roman" w:hAnsi="Times New Roman" w:cs="Times New Roman"/>
          <w:sz w:val="24"/>
          <w:szCs w:val="24"/>
        </w:rPr>
        <w:t>　(1分)　②CD　(2分)　③b点后反应物浓度降低对反应速率的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720" w:firstLineChars="3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影响大于体系温度升高对反应速率的影响　(1分)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>①由图像可知bc先达到平衡状态，温度越高反应速率越快[或由bc曲线可知平衡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时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720" w:firstLineChars="3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n(NO)＝1.0 mol，由计算可知ad曲线平衡时n(NO)＝1.2 mol，该反应为放热反应，升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720" w:firstLineChars="3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高温度平衡逆移]　(1分)　②2.25(或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\f(9,4)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　(1分)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(4)①2SO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＋2e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z w:val="24"/>
          <w:szCs w:val="24"/>
        </w:rPr>
        <w:t>＋2Li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pacing w:val="-16"/>
          <w:sz w:val="24"/>
          <w:szCs w:val="24"/>
        </w:rPr>
        <w:t>==</w:t>
      </w:r>
      <w:r>
        <w:rPr>
          <w:rFonts w:ascii="Times New Roman" w:hAnsi="Times New Roman" w:cs="Times New Roman"/>
          <w:sz w:val="24"/>
          <w:szCs w:val="24"/>
        </w:rPr>
        <w:t>=Li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↓　(2分)　②2Li＋2H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6"/>
          <w:sz w:val="24"/>
          <w:szCs w:val="24"/>
        </w:rPr>
        <w:t>==</w:t>
      </w:r>
      <w:r>
        <w:rPr>
          <w:rFonts w:ascii="Times New Roman" w:hAnsi="Times New Roman" w:cs="Times New Roman"/>
          <w:sz w:val="24"/>
          <w:szCs w:val="24"/>
        </w:rPr>
        <w:t>=2LiOH＋H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↑　(2分)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>评分细则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】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</w:rPr>
        <w:t>化学方程式的化学式、离子符号写错不得分；化学式书写正确但未配平，扣1分；“↑”“↓”未标、必须书写的反应条件未写（或写错）等化学用语书写规范错误的，每个化学方程式累计扣1分。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12．(12分)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719" w:leftChars="228" w:hanging="240" w:hangingChars="1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(1)Bi＋4H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＋</w:t>
      </w:r>
      <w:r>
        <w:rPr>
          <w:rFonts w:ascii="Times New Roman" w:hAnsi="Times New Roman" w:cs="Times New Roman"/>
          <w:sz w:val="24"/>
          <w:szCs w:val="24"/>
        </w:rPr>
        <w:t>＋NO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pacing w:val="-16"/>
          <w:sz w:val="24"/>
          <w:szCs w:val="24"/>
        </w:rPr>
        <w:t>==</w:t>
      </w:r>
      <w:r>
        <w:rPr>
          <w:rFonts w:ascii="Times New Roman" w:hAnsi="Times New Roman" w:cs="Times New Roman"/>
          <w:sz w:val="24"/>
          <w:szCs w:val="24"/>
        </w:rPr>
        <w:t>=Bi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3＋</w:t>
      </w:r>
      <w:r>
        <w:rPr>
          <w:rFonts w:ascii="Times New Roman" w:hAnsi="Times New Roman" w:cs="Times New Roman"/>
          <w:sz w:val="24"/>
          <w:szCs w:val="24"/>
        </w:rPr>
        <w:t>＋NO↑＋2H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　(2分)　方法</w:t>
      </w:r>
      <w:r>
        <w:rPr>
          <w:rFonts w:hint="default" w:ascii="Times New Roman" w:hAnsi="Times New Roman" w:cs="Times New Roman"/>
          <w:sz w:val="24"/>
          <w:szCs w:val="24"/>
        </w:rPr>
        <w:t>Ⅰ</w:t>
      </w:r>
      <w:r>
        <w:rPr>
          <w:rFonts w:ascii="Times New Roman" w:hAnsi="Times New Roman" w:cs="Times New Roman"/>
          <w:sz w:val="24"/>
          <w:szCs w:val="24"/>
        </w:rPr>
        <w:t>中金属Bi与硝酸反应和硝酸铋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在受热分解的过程中均会产生污染环境的氮氧化物　(1分)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(2)分液漏斗　(1分)　2BiOCl＋2NH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HCO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pict>
          <v:shape id="_x0000_i1025" o:spt="75" type="#_x0000_t75" style="height:21.6pt;width:21.6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(BiO)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＋CO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↑＋2NH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Cl＋H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　(2</w:t>
      </w:r>
      <w:r>
        <w:rPr>
          <w:rFonts w:hint="eastAsia" w:ascii="Times New Roman" w:hAnsi="Times New Roman" w:cs="Times New Roman"/>
          <w:sz w:val="24"/>
          <w:szCs w:val="24"/>
        </w:rPr>
        <w:t>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3)氨水会与HCO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反应生成CO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　(2分)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·H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O分解，溶液的pH降低，不利于CO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的形成，使沉淀产率降低　(2分)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(5)95.4%　(2分)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>评分细则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】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</w:rPr>
        <w:t>化学方程式的化学式、离子符号写错不得分；化学式书写正确但未配平，扣1分；“↑”“↓”未标、必须书写的反应条件未写（或写错）等化学用语书写规范错误的，每个化学方程式累计扣1分。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13．(13分)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(1)＋4　(1分)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(2)Ag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＋2Cl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spacing w:val="-16"/>
          <w:sz w:val="24"/>
          <w:szCs w:val="24"/>
        </w:rPr>
        <w:t>==</w:t>
      </w:r>
      <w:r>
        <w:rPr>
          <w:rFonts w:ascii="Times New Roman" w:hAnsi="Times New Roman" w:cs="Times New Roman"/>
          <w:sz w:val="24"/>
          <w:szCs w:val="24"/>
        </w:rPr>
        <w:t>=2AgCl＋SO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　(2分)　5×10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－16</w:t>
      </w:r>
      <w:r>
        <w:rPr>
          <w:rFonts w:ascii="Times New Roman" w:hAnsi="Times New Roman" w:cs="Times New Roman"/>
          <w:sz w:val="24"/>
          <w:szCs w:val="24"/>
        </w:rPr>
        <w:t>　(2分)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(3)过滤　(1分)　6.0　(1分)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TeO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＋2SO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pacing w:val="-16"/>
          <w:sz w:val="24"/>
          <w:szCs w:val="24"/>
        </w:rPr>
        <w:t>==</w:t>
      </w:r>
      <w:r>
        <w:rPr>
          <w:rFonts w:ascii="Times New Roman" w:hAnsi="Times New Roman" w:cs="Times New Roman"/>
          <w:sz w:val="24"/>
          <w:szCs w:val="24"/>
        </w:rPr>
        <w:t>=Te＋2SO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2－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＋H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　(2分)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(5)当加入最后一滴Na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标准溶液时，溶液由蓝色变成无色且30 s 内不恢复原来的颜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720" w:firstLineChars="3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色　(2分)　54.6%　(2分)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>评分细则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】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</w:rPr>
        <w:t>化学方程式的化学式、离子符号写错不得分；化学式书写正确但未配平，扣1分；“↑”“↓”未标、必须书写的反应条件未写（或写错）等化学用语书写规范错误的，每个化学方程式累计扣1分。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14．(12分)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(1)①共价键、氢键　(1分)　②sp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、sp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　(1分)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③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INCLUDEPICTURE"21FJZJ-D1.TIF"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pict>
          <v:shape id="_x0000_i1026" o:spt="75" type="#_x0000_t75" style="height:24pt;width:55.5pt;" filled="f" o:preferrelative="t" stroked="f" coordsize="21600,21600">
            <v:path/>
            <v:fill on="f" focussize="0,0"/>
            <v:stroke on="f" joinstyle="miter"/>
            <v:imagedata r:id="rId5" r:href="rId6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　(1分)　正四面体　(1分)　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　(1分)</w:t>
      </w:r>
    </w:p>
    <w:p>
      <w:pPr>
        <w:pStyle w:val="3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①BN的熔点大于BP；二者均为原子晶体，N原子半径比P原子小，B—N键键长比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720" w:firstLineChars="3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B—P键短，B—N键键能较大，因此BN晶体的熔点高于BP晶体　(2分)　②12　(1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720" w:firstLineChars="3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>分)　③(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\f(3,4)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\f(1,4)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\f(1,4)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　(2分)　④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\f(\r(6),8)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a　(2分)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15．(12分)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(1)甲苯　(1分)　取代反应(或硝化反应)　(1分)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(2)羧基、酯基　(各1分，共2分)　</w:t>
      </w:r>
      <w:r>
        <w:rPr>
          <w:rFonts w:ascii="Times New Roman" w:hAnsi="Times New Roman"/>
          <w:sz w:val="24"/>
          <w:szCs w:val="24"/>
        </w:rPr>
        <w:pict>
          <v:shape id="_x0000_i1027" o:spt="75" type="#_x0000_t75" style="height:39.15pt;width:104.75pt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　(1分)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pict>
          <v:shape id="_x0000_i1028" o:spt="75" type="#_x0000_t75" style="height:42.75pt;width:200pt;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　(2分)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(4)10　(2分)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pict>
          <v:shape id="_x0000_i1029" o:spt="75" type="#_x0000_t75" style="height:32.55pt;width:228.35pt;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i1030" o:spt="75" type="#_x0000_t75" style="height:30.35pt;width:164.75pt;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>　(3分)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>评分细则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】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1.有机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</w:rPr>
        <w:t>化学方程式的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</w:rPr>
        <w:t>物质结构简式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</w:rPr>
        <w:t>写错不得分；书写正确但未配平，扣1分；必须书写的反应条件未写（或写错）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</w:rPr>
        <w:t>化学用语书写规范错误的，每个化学方程式累计扣1分。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</w:rPr>
        <w:t>2.合成路线设计从左至右每写对一步得1分，写错不得分；若有其他正确的路线也可酌情给分。</w:t>
      </w:r>
    </w:p>
    <w:sectPr>
      <w:pgSz w:w="11850" w:h="16783"/>
      <w:pgMar w:top="1417" w:right="1077" w:bottom="141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0B32"/>
    <w:multiLevelType w:val="singleLevel"/>
    <w:tmpl w:val="18950B32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3A586987"/>
    <w:multiLevelType w:val="singleLevel"/>
    <w:tmpl w:val="3A5869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145958A"/>
    <w:multiLevelType w:val="singleLevel"/>
    <w:tmpl w:val="6145958A"/>
    <w:lvl w:ilvl="0" w:tentative="0">
      <w:start w:val="3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370"/>
    <w:rsid w:val="00035DD5"/>
    <w:rsid w:val="00043177"/>
    <w:rsid w:val="001066DD"/>
    <w:rsid w:val="00135370"/>
    <w:rsid w:val="001E3686"/>
    <w:rsid w:val="0021309F"/>
    <w:rsid w:val="0045652A"/>
    <w:rsid w:val="0062558A"/>
    <w:rsid w:val="0068317B"/>
    <w:rsid w:val="007622CF"/>
    <w:rsid w:val="00790C79"/>
    <w:rsid w:val="007916C7"/>
    <w:rsid w:val="007B5969"/>
    <w:rsid w:val="007E0394"/>
    <w:rsid w:val="00866F9A"/>
    <w:rsid w:val="00881B9E"/>
    <w:rsid w:val="00963969"/>
    <w:rsid w:val="00970E97"/>
    <w:rsid w:val="009A5EE7"/>
    <w:rsid w:val="009B431D"/>
    <w:rsid w:val="00A002BF"/>
    <w:rsid w:val="00B33FC6"/>
    <w:rsid w:val="00BC0FBD"/>
    <w:rsid w:val="00C05B57"/>
    <w:rsid w:val="00C65CD1"/>
    <w:rsid w:val="00CA1C4C"/>
    <w:rsid w:val="00D85782"/>
    <w:rsid w:val="02674704"/>
    <w:rsid w:val="0271231C"/>
    <w:rsid w:val="032F32B1"/>
    <w:rsid w:val="03AF55E8"/>
    <w:rsid w:val="06542E0C"/>
    <w:rsid w:val="080457ED"/>
    <w:rsid w:val="08B34A59"/>
    <w:rsid w:val="0A60781A"/>
    <w:rsid w:val="0C3D6B9D"/>
    <w:rsid w:val="0D525089"/>
    <w:rsid w:val="0D887D72"/>
    <w:rsid w:val="0DAF7491"/>
    <w:rsid w:val="0DD27D7F"/>
    <w:rsid w:val="0F5D1C38"/>
    <w:rsid w:val="0F900F01"/>
    <w:rsid w:val="10910A33"/>
    <w:rsid w:val="1407618E"/>
    <w:rsid w:val="165B6891"/>
    <w:rsid w:val="169B3B29"/>
    <w:rsid w:val="177D679C"/>
    <w:rsid w:val="18A01653"/>
    <w:rsid w:val="1912180C"/>
    <w:rsid w:val="193324DD"/>
    <w:rsid w:val="1A9B680B"/>
    <w:rsid w:val="1ABD738D"/>
    <w:rsid w:val="1B5850F9"/>
    <w:rsid w:val="1CC80A62"/>
    <w:rsid w:val="1E4436BE"/>
    <w:rsid w:val="1F1D55EB"/>
    <w:rsid w:val="1FBB4F95"/>
    <w:rsid w:val="202138AB"/>
    <w:rsid w:val="21A92E1E"/>
    <w:rsid w:val="240355F3"/>
    <w:rsid w:val="267A7635"/>
    <w:rsid w:val="2A700D6F"/>
    <w:rsid w:val="2AFF6B6D"/>
    <w:rsid w:val="2CC75B19"/>
    <w:rsid w:val="2D4717B8"/>
    <w:rsid w:val="2D670518"/>
    <w:rsid w:val="2EBA5C30"/>
    <w:rsid w:val="2FE90D0A"/>
    <w:rsid w:val="30F23F66"/>
    <w:rsid w:val="3188669B"/>
    <w:rsid w:val="31A87A84"/>
    <w:rsid w:val="31AF4EFC"/>
    <w:rsid w:val="35675613"/>
    <w:rsid w:val="35F71B56"/>
    <w:rsid w:val="362271EA"/>
    <w:rsid w:val="367737B5"/>
    <w:rsid w:val="390D5634"/>
    <w:rsid w:val="3B103BEF"/>
    <w:rsid w:val="3B716000"/>
    <w:rsid w:val="3DF02CE8"/>
    <w:rsid w:val="3DF73A32"/>
    <w:rsid w:val="3E04284A"/>
    <w:rsid w:val="3F7E16FD"/>
    <w:rsid w:val="3FB154C5"/>
    <w:rsid w:val="42493149"/>
    <w:rsid w:val="43672BC7"/>
    <w:rsid w:val="43D6242C"/>
    <w:rsid w:val="44837D30"/>
    <w:rsid w:val="469B0DE6"/>
    <w:rsid w:val="48022AA8"/>
    <w:rsid w:val="48685399"/>
    <w:rsid w:val="49711963"/>
    <w:rsid w:val="4E763FE1"/>
    <w:rsid w:val="51640F67"/>
    <w:rsid w:val="52213F8D"/>
    <w:rsid w:val="532629EA"/>
    <w:rsid w:val="554A3730"/>
    <w:rsid w:val="56C57A1B"/>
    <w:rsid w:val="592D7603"/>
    <w:rsid w:val="5B4614DC"/>
    <w:rsid w:val="5DC27D01"/>
    <w:rsid w:val="5FC86D38"/>
    <w:rsid w:val="5FCB3507"/>
    <w:rsid w:val="614C16B9"/>
    <w:rsid w:val="629F22F0"/>
    <w:rsid w:val="651608E7"/>
    <w:rsid w:val="653848E4"/>
    <w:rsid w:val="66061CE4"/>
    <w:rsid w:val="674E78E5"/>
    <w:rsid w:val="67997BB7"/>
    <w:rsid w:val="68254EA6"/>
    <w:rsid w:val="6AE76CD7"/>
    <w:rsid w:val="6D7D6590"/>
    <w:rsid w:val="6E2E6788"/>
    <w:rsid w:val="748A1D85"/>
    <w:rsid w:val="74AC5EA9"/>
    <w:rsid w:val="74D12712"/>
    <w:rsid w:val="764566E3"/>
    <w:rsid w:val="76FB7F5E"/>
    <w:rsid w:val="78966609"/>
    <w:rsid w:val="792B68D5"/>
    <w:rsid w:val="7C806F02"/>
    <w:rsid w:val="7D2369B3"/>
    <w:rsid w:val="7D886257"/>
    <w:rsid w:val="7DD31160"/>
    <w:rsid w:val="7ECD5E8C"/>
    <w:rsid w:val="7FEE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99"/>
    <w:pPr>
      <w:jc w:val="left"/>
    </w:pPr>
  </w:style>
  <w:style w:type="paragraph" w:styleId="3">
    <w:name w:val="Plain Text"/>
    <w:basedOn w:val="1"/>
    <w:link w:val="16"/>
    <w:unhideWhenUsed/>
    <w:qFormat/>
    <w:uiPriority w:val="99"/>
    <w:pPr>
      <w:widowControl/>
      <w:jc w:val="left"/>
    </w:pPr>
    <w:rPr>
      <w:rFonts w:ascii="宋体" w:hAnsi="Courier New" w:cs="Courier New"/>
      <w:kern w:val="0"/>
    </w:r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2"/>
    <w:semiHidden/>
    <w:qFormat/>
    <w:uiPriority w:val="99"/>
    <w:rPr>
      <w:b/>
      <w:bCs/>
    </w:rPr>
  </w:style>
  <w:style w:type="character" w:styleId="10">
    <w:name w:val="annotation reference"/>
    <w:basedOn w:val="9"/>
    <w:semiHidden/>
    <w:qFormat/>
    <w:uiPriority w:val="99"/>
    <w:rPr>
      <w:sz w:val="21"/>
      <w:szCs w:val="21"/>
    </w:rPr>
  </w:style>
  <w:style w:type="character" w:customStyle="1" w:styleId="11">
    <w:name w:val="批注文字 Char"/>
    <w:basedOn w:val="9"/>
    <w:link w:val="2"/>
    <w:semiHidden/>
    <w:qFormat/>
    <w:locked/>
    <w:uiPriority w:val="99"/>
    <w:rPr>
      <w:sz w:val="21"/>
      <w:szCs w:val="21"/>
    </w:rPr>
  </w:style>
  <w:style w:type="character" w:customStyle="1" w:styleId="12">
    <w:name w:val="批注主题 Char"/>
    <w:basedOn w:val="11"/>
    <w:link w:val="7"/>
    <w:semiHidden/>
    <w:qFormat/>
    <w:locked/>
    <w:uiPriority w:val="99"/>
    <w:rPr>
      <w:b/>
      <w:bCs/>
    </w:rPr>
  </w:style>
  <w:style w:type="character" w:customStyle="1" w:styleId="13">
    <w:name w:val="批注框文本 Char"/>
    <w:basedOn w:val="9"/>
    <w:link w:val="4"/>
    <w:semiHidden/>
    <w:qFormat/>
    <w:locked/>
    <w:uiPriority w:val="99"/>
    <w:rPr>
      <w:sz w:val="2"/>
      <w:szCs w:val="2"/>
    </w:rPr>
  </w:style>
  <w:style w:type="character" w:customStyle="1" w:styleId="14">
    <w:name w:val="页眉 Char"/>
    <w:basedOn w:val="9"/>
    <w:link w:val="6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6">
    <w:name w:val="纯文本 Char"/>
    <w:basedOn w:val="9"/>
    <w:link w:val="3"/>
    <w:qFormat/>
    <w:uiPriority w:val="99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21FJZJ-D1.T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4F3113-9848-45E9-8D33-C774CAE4EA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zzspjs</Company>
  <Pages>15</Pages>
  <Words>11956</Words>
  <Characters>510</Characters>
  <Lines>4</Lines>
  <Paragraphs>24</Paragraphs>
  <TotalTime>34</TotalTime>
  <ScaleCrop>false</ScaleCrop>
  <LinksUpToDate>false</LinksUpToDate>
  <CharactersWithSpaces>12442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编辑</cp:lastModifiedBy>
  <cp:lastPrinted>2019-12-29T23:45:00Z</cp:lastPrinted>
  <dcterms:modified xsi:type="dcterms:W3CDTF">2021-02-23T05:27:30Z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